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20" w:lineRule="atLeast"/>
        <w:rPr>
          <w:rStyle w:val="10"/>
        </w:rPr>
      </w:pPr>
      <w:r>
        <w:rPr>
          <w:rFonts w:hint="eastAsia" w:ascii="MS Gothic" w:hAnsi="MS Gothic" w:eastAsia="MS Gothic" w:cs="MS Gothic"/>
          <w:b/>
          <w:bCs/>
          <w:i/>
          <w:iCs/>
          <w:color w:val="6AB74B"/>
          <w:spacing w:val="8"/>
          <w:sz w:val="23"/>
          <w:szCs w:val="23"/>
        </w:rPr>
        <w:t>​</w:t>
      </w:r>
      <w:r>
        <w:rPr>
          <w:rStyle w:val="10"/>
          <w:rFonts w:hint="eastAsia"/>
        </w:rPr>
        <w:t>WOCA 202</w:t>
      </w:r>
      <w:r>
        <w:rPr>
          <w:rStyle w:val="10"/>
          <w:rFonts w:hint="eastAsia" w:eastAsiaTheme="majorEastAsia"/>
          <w:lang w:val="en-US" w:eastAsia="zh-CN"/>
        </w:rPr>
        <w:t>3</w:t>
      </w:r>
      <w:r>
        <w:rPr>
          <w:rStyle w:val="10"/>
          <w:rFonts w:hint="eastAsia"/>
        </w:rPr>
        <w:t>亚洲混凝土世界博览会强势来袭！</w:t>
      </w:r>
    </w:p>
    <w:p>
      <w:pPr>
        <w:pStyle w:val="4"/>
        <w:spacing w:before="0" w:beforeAutospacing="0" w:after="0" w:afterAutospacing="0"/>
        <w:jc w:val="center"/>
        <w:rPr>
          <w:rStyle w:val="9"/>
          <w:rFonts w:ascii="微软雅黑" w:hAnsi="微软雅黑" w:eastAsia="微软雅黑" w:cs="微软雅黑"/>
          <w:b/>
          <w:bCs/>
          <w:color w:val="3EB229"/>
          <w:sz w:val="34"/>
          <w:szCs w:val="34"/>
        </w:rPr>
      </w:pPr>
    </w:p>
    <w:p>
      <w:pPr>
        <w:pStyle w:val="4"/>
        <w:spacing w:before="0" w:beforeAutospacing="0" w:after="0" w:afterAutospacing="0"/>
        <w:jc w:val="center"/>
        <w:rPr>
          <w:rFonts w:ascii="微软雅黑" w:hAnsi="微软雅黑" w:eastAsia="微软雅黑" w:cs="微软雅黑"/>
          <w:b/>
          <w:bCs/>
          <w:color w:val="3EB229"/>
        </w:rPr>
      </w:pPr>
      <w:r>
        <w:rPr>
          <w:rStyle w:val="9"/>
          <w:rFonts w:hint="eastAsia" w:ascii="微软雅黑" w:hAnsi="微软雅黑" w:eastAsia="微软雅黑" w:cs="微软雅黑"/>
          <w:b/>
          <w:bCs/>
          <w:color w:val="3EB229"/>
          <w:sz w:val="34"/>
          <w:szCs w:val="34"/>
        </w:rPr>
        <w:t>关于WOCA</w:t>
      </w:r>
    </w:p>
    <w:p>
      <w:pPr>
        <w:pStyle w:val="4"/>
        <w:spacing w:before="0" w:beforeAutospacing="0" w:after="0" w:afterAutospacing="0"/>
        <w:jc w:val="center"/>
        <w:rPr>
          <w:b/>
          <w:bCs/>
          <w:color w:val="3EB229"/>
        </w:rPr>
      </w:pPr>
      <w:r>
        <w:rPr>
          <w:rStyle w:val="9"/>
          <w:rFonts w:hint="eastAsia" w:ascii="微软雅黑" w:hAnsi="微软雅黑" w:eastAsia="微软雅黑" w:cs="微软雅黑"/>
          <w:b/>
          <w:bCs/>
          <w:color w:val="3EB229"/>
          <w:sz w:val="34"/>
          <w:szCs w:val="34"/>
        </w:rPr>
        <w:t>亚洲混凝土世界博览会</w:t>
      </w:r>
    </w:p>
    <w:p/>
    <w:p>
      <w:pPr>
        <w:jc w:val="both"/>
      </w:pPr>
      <w:r>
        <w:rPr>
          <w:rFonts w:ascii="微软雅黑" w:hAnsi="微软雅黑" w:eastAsia="微软雅黑" w:cs="微软雅黑"/>
          <w:color w:val="000000"/>
          <w:spacing w:val="10"/>
          <w:lang w:bidi="ar"/>
        </w:rPr>
        <w:t>WOCA源自“WOC混凝土系列展”,WOCA亚洲混凝土世界博览会是</w:t>
      </w:r>
      <w:r>
        <w:rPr>
          <w:rStyle w:val="8"/>
          <w:rFonts w:ascii="微软雅黑" w:hAnsi="微软雅黑" w:eastAsia="微软雅黑" w:cs="微软雅黑"/>
          <w:color w:val="6AB74B"/>
          <w:spacing w:val="10"/>
          <w:lang w:bidi="ar"/>
        </w:rPr>
        <w:t>混凝土、砂浆、地坪一站式综合性展览平台</w:t>
      </w:r>
      <w:r>
        <w:rPr>
          <w:rFonts w:ascii="微软雅黑" w:hAnsi="微软雅黑" w:eastAsia="微软雅黑" w:cs="微软雅黑"/>
          <w:color w:val="000000"/>
          <w:spacing w:val="10"/>
          <w:lang w:bidi="ar"/>
        </w:rPr>
        <w:t>。</w:t>
      </w:r>
      <w:r>
        <w:rPr>
          <w:rStyle w:val="8"/>
          <w:rFonts w:ascii="微软雅黑" w:hAnsi="微软雅黑" w:eastAsia="微软雅黑" w:cs="微软雅黑"/>
          <w:color w:val="6AB74B"/>
          <w:spacing w:val="10"/>
          <w:lang w:bidi="ar"/>
        </w:rPr>
        <w:t>57,000+ 平米</w:t>
      </w:r>
      <w:r>
        <w:rPr>
          <w:rFonts w:ascii="微软雅黑" w:hAnsi="微软雅黑" w:eastAsia="微软雅黑" w:cs="微软雅黑"/>
          <w:color w:val="000000"/>
          <w:spacing w:val="10"/>
          <w:lang w:bidi="ar"/>
        </w:rPr>
        <w:t>展示规模将有来自海内外 </w:t>
      </w:r>
      <w:r>
        <w:rPr>
          <w:rStyle w:val="8"/>
          <w:rFonts w:ascii="微软雅黑" w:hAnsi="微软雅黑" w:eastAsia="微软雅黑" w:cs="微软雅黑"/>
          <w:color w:val="6AB74B"/>
          <w:spacing w:val="10"/>
          <w:lang w:bidi="ar"/>
        </w:rPr>
        <w:t>720+ 家企业</w:t>
      </w:r>
      <w:r>
        <w:rPr>
          <w:rFonts w:ascii="微软雅黑" w:hAnsi="微软雅黑" w:eastAsia="微软雅黑" w:cs="微软雅黑"/>
          <w:color w:val="000000"/>
          <w:spacing w:val="10"/>
          <w:lang w:bidi="ar"/>
        </w:rPr>
        <w:t>的参与，展品覆盖</w:t>
      </w:r>
      <w:r>
        <w:rPr>
          <w:rStyle w:val="8"/>
          <w:rFonts w:ascii="微软雅黑" w:hAnsi="微软雅黑" w:eastAsia="微软雅黑" w:cs="微软雅黑"/>
          <w:color w:val="6AB74B"/>
          <w:spacing w:val="10"/>
          <w:lang w:bidi="ar"/>
        </w:rPr>
        <w:t>原材料、成品、设备、技术一体化解决方案</w:t>
      </w:r>
      <w:r>
        <w:rPr>
          <w:rFonts w:ascii="微软雅黑" w:hAnsi="微软雅黑" w:eastAsia="微软雅黑" w:cs="微软雅黑"/>
          <w:color w:val="000000"/>
          <w:spacing w:val="10"/>
          <w:lang w:bidi="ar"/>
        </w:rPr>
        <w:t>，完整链接市政、工业、建筑、商业全领域环节需求。展会同时吸引 </w:t>
      </w:r>
      <w:r>
        <w:rPr>
          <w:rStyle w:val="8"/>
          <w:rFonts w:ascii="微软雅黑" w:hAnsi="微软雅黑" w:eastAsia="微软雅黑" w:cs="微软雅黑"/>
          <w:color w:val="6AB74B"/>
          <w:spacing w:val="10"/>
          <w:lang w:bidi="ar"/>
        </w:rPr>
        <w:t>37,000+ 经销代理、总包/分包商、市政、商用/民用地产开发商、建筑设计院</w:t>
      </w:r>
      <w:r>
        <w:rPr>
          <w:rFonts w:ascii="微软雅黑" w:hAnsi="微软雅黑" w:eastAsia="微软雅黑" w:cs="微软雅黑"/>
          <w:color w:val="000000"/>
          <w:spacing w:val="10"/>
          <w:lang w:bidi="ar"/>
        </w:rPr>
        <w:t>等领域的观众将到场参观。现场更有</w:t>
      </w:r>
      <w:r>
        <w:rPr>
          <w:rStyle w:val="8"/>
          <w:rFonts w:ascii="微软雅黑" w:hAnsi="微软雅黑" w:eastAsia="微软雅黑" w:cs="微软雅黑"/>
          <w:color w:val="6AB74B"/>
          <w:spacing w:val="10"/>
          <w:lang w:bidi="ar"/>
        </w:rPr>
        <w:t>动态实操演示、施工技能大赛、WOCA地坪奖-亚洲赛区、GTA 金镘刀奖-亚洲区，专业论坛</w:t>
      </w:r>
      <w:r>
        <w:rPr>
          <w:rFonts w:ascii="微软雅黑" w:hAnsi="微软雅黑" w:eastAsia="微软雅黑" w:cs="微软雅黑"/>
          <w:color w:val="000000"/>
          <w:spacing w:val="10"/>
          <w:lang w:bidi="ar"/>
        </w:rPr>
        <w:t>等精彩内容，是行业人士不可错过的重要平台。</w:t>
      </w:r>
    </w:p>
    <w:p>
      <w:pPr>
        <w:spacing w:after="0" w:line="420" w:lineRule="atLeast"/>
        <w:rPr>
          <w:rStyle w:val="10"/>
        </w:rPr>
      </w:pPr>
    </w:p>
    <w:p>
      <w:pPr>
        <w:spacing w:after="0" w:line="420" w:lineRule="atLeast"/>
        <w:rPr>
          <w:rFonts w:ascii="Arial" w:hAnsi="Arial" w:eastAsia="Times New Roman" w:cs="Arial"/>
          <w:sz w:val="26"/>
          <w:szCs w:val="26"/>
        </w:rPr>
      </w:pPr>
      <w:r>
        <w:rPr>
          <w:rFonts w:hint="eastAsia" w:ascii="微软雅黑" w:hAnsi="微软雅黑" w:eastAsia="微软雅黑" w:cs="Arial"/>
          <w:b/>
          <w:bCs/>
          <w:i/>
          <w:iCs/>
          <w:color w:val="6AB74B"/>
          <w:spacing w:val="8"/>
          <w:sz w:val="23"/>
          <w:szCs w:val="23"/>
        </w:rPr>
        <w:t>202</w:t>
      </w:r>
      <w:r>
        <w:rPr>
          <w:rFonts w:hint="eastAsia" w:ascii="微软雅黑" w:hAnsi="微软雅黑" w:eastAsia="微软雅黑" w:cs="Arial"/>
          <w:b/>
          <w:bCs/>
          <w:i/>
          <w:iCs/>
          <w:color w:val="6AB74B"/>
          <w:spacing w:val="8"/>
          <w:sz w:val="23"/>
          <w:szCs w:val="23"/>
          <w:lang w:val="en-US" w:eastAsia="zh-CN"/>
        </w:rPr>
        <w:t>3</w:t>
      </w:r>
      <w:r>
        <w:rPr>
          <w:rFonts w:hint="eastAsia" w:ascii="微软雅黑" w:hAnsi="微软雅黑" w:eastAsia="微软雅黑" w:cs="Arial"/>
          <w:b/>
          <w:bCs/>
          <w:i/>
          <w:iCs/>
          <w:color w:val="6AB74B"/>
          <w:spacing w:val="8"/>
          <w:sz w:val="23"/>
          <w:szCs w:val="23"/>
        </w:rPr>
        <w:t>WOCA亚洲混凝土世界博览会</w:t>
      </w:r>
      <w:r>
        <w:rPr>
          <w:rFonts w:hint="eastAsia" w:ascii="微软雅黑" w:hAnsi="微软雅黑" w:eastAsia="微软雅黑" w:cs="Arial"/>
          <w:spacing w:val="8"/>
          <w:sz w:val="21"/>
          <w:szCs w:val="21"/>
        </w:rPr>
        <w:t>进行了</w:t>
      </w:r>
      <w:r>
        <w:rPr>
          <w:rFonts w:hint="eastAsia" w:ascii="微软雅黑" w:hAnsi="微软雅黑" w:eastAsia="微软雅黑" w:cs="Arial"/>
          <w:b/>
          <w:bCs/>
          <w:i/>
          <w:iCs/>
          <w:color w:val="6AB74B"/>
          <w:spacing w:val="8"/>
          <w:sz w:val="23"/>
          <w:szCs w:val="23"/>
        </w:rPr>
        <w:t>创新升级</w:t>
      </w:r>
      <w:r>
        <w:rPr>
          <w:rFonts w:hint="eastAsia" w:ascii="微软雅黑" w:hAnsi="微软雅黑" w:eastAsia="微软雅黑" w:cs="Arial"/>
          <w:spacing w:val="8"/>
          <w:sz w:val="21"/>
          <w:szCs w:val="21"/>
        </w:rPr>
        <w:t>，</w:t>
      </w:r>
      <w:r>
        <w:rPr>
          <w:rFonts w:hint="eastAsia" w:ascii="微软雅黑" w:hAnsi="微软雅黑" w:eastAsia="微软雅黑" w:cs="Arial"/>
          <w:color w:val="000000"/>
          <w:spacing w:val="8"/>
          <w:sz w:val="21"/>
          <w:szCs w:val="21"/>
        </w:rPr>
        <w:t>利用新展馆参观布局优势，加强观众流动性，均衡展位人流，展会现场多场商贸对接、会议论坛活动，为企业提供更多合作商机。</w:t>
      </w:r>
    </w:p>
    <w:p>
      <w:pPr>
        <w:spacing w:after="0" w:line="420" w:lineRule="atLeast"/>
        <w:rPr>
          <w:rFonts w:hint="eastAsia" w:ascii="微软雅黑" w:hAnsi="微软雅黑" w:eastAsia="微软雅黑" w:cs="Arial"/>
          <w:color w:val="000000"/>
          <w:spacing w:val="8"/>
          <w:sz w:val="21"/>
          <w:szCs w:val="21"/>
        </w:rPr>
      </w:pPr>
      <w:r>
        <w:rPr>
          <w:rFonts w:hint="default" w:ascii="微软雅黑" w:hAnsi="微软雅黑" w:eastAsia="微软雅黑" w:cs="Arial"/>
          <w:color w:val="000000"/>
          <w:spacing w:val="8"/>
          <w:sz w:val="21"/>
          <w:szCs w:val="21"/>
        </w:rPr>
        <w:t>展会日期：  2023年</w:t>
      </w:r>
      <w:r>
        <w:rPr>
          <w:rFonts w:hint="eastAsia" w:ascii="微软雅黑" w:hAnsi="微软雅黑" w:eastAsia="微软雅黑" w:cs="Arial"/>
          <w:color w:val="000000"/>
          <w:spacing w:val="8"/>
          <w:sz w:val="21"/>
          <w:szCs w:val="21"/>
          <w:lang w:val="en-US" w:eastAsia="zh-CN"/>
        </w:rPr>
        <w:t>8</w:t>
      </w:r>
      <w:r>
        <w:rPr>
          <w:rFonts w:hint="default" w:ascii="微软雅黑" w:hAnsi="微软雅黑" w:eastAsia="微软雅黑" w:cs="Arial"/>
          <w:color w:val="000000"/>
          <w:spacing w:val="8"/>
          <w:sz w:val="21"/>
          <w:szCs w:val="21"/>
        </w:rPr>
        <w:t>月</w:t>
      </w:r>
      <w:r>
        <w:rPr>
          <w:rFonts w:hint="eastAsia" w:ascii="微软雅黑" w:hAnsi="微软雅黑" w:eastAsia="微软雅黑" w:cs="Arial"/>
          <w:color w:val="000000"/>
          <w:spacing w:val="8"/>
          <w:sz w:val="21"/>
          <w:szCs w:val="21"/>
          <w:lang w:val="en-US" w:eastAsia="zh-CN"/>
        </w:rPr>
        <w:t>10</w:t>
      </w:r>
      <w:r>
        <w:rPr>
          <w:rFonts w:hint="default" w:ascii="微软雅黑" w:hAnsi="微软雅黑" w:eastAsia="微软雅黑" w:cs="Arial"/>
          <w:color w:val="000000"/>
          <w:spacing w:val="8"/>
          <w:sz w:val="21"/>
          <w:szCs w:val="21"/>
        </w:rPr>
        <w:t>至</w:t>
      </w:r>
      <w:r>
        <w:rPr>
          <w:rFonts w:hint="eastAsia" w:ascii="微软雅黑" w:hAnsi="微软雅黑" w:eastAsia="微软雅黑" w:cs="Arial"/>
          <w:color w:val="000000"/>
          <w:spacing w:val="8"/>
          <w:sz w:val="21"/>
          <w:szCs w:val="21"/>
          <w:lang w:val="en-US" w:eastAsia="zh-CN"/>
        </w:rPr>
        <w:t>12</w:t>
      </w:r>
      <w:r>
        <w:rPr>
          <w:rFonts w:hint="default" w:ascii="微软雅黑" w:hAnsi="微软雅黑" w:eastAsia="微软雅黑" w:cs="Arial"/>
          <w:color w:val="000000"/>
          <w:spacing w:val="8"/>
          <w:sz w:val="21"/>
          <w:szCs w:val="21"/>
        </w:rPr>
        <w:t>日</w:t>
      </w:r>
    </w:p>
    <w:p>
      <w:pPr>
        <w:spacing w:after="0" w:line="420" w:lineRule="atLeast"/>
        <w:rPr>
          <w:rFonts w:hint="default" w:ascii="微软雅黑" w:hAnsi="微软雅黑" w:eastAsia="微软雅黑" w:cs="Arial"/>
          <w:color w:val="000000"/>
          <w:spacing w:val="8"/>
          <w:sz w:val="21"/>
          <w:szCs w:val="21"/>
        </w:rPr>
      </w:pPr>
      <w:r>
        <w:rPr>
          <w:rFonts w:hint="default" w:ascii="微软雅黑" w:hAnsi="微软雅黑" w:eastAsia="微软雅黑" w:cs="Arial"/>
          <w:color w:val="000000"/>
          <w:spacing w:val="8"/>
          <w:sz w:val="21"/>
          <w:szCs w:val="21"/>
        </w:rPr>
        <w:t xml:space="preserve">展会时间：  9:00-17:00 </w:t>
      </w:r>
      <w:r>
        <w:rPr>
          <w:rFonts w:hint="eastAsia" w:ascii="微软雅黑" w:hAnsi="微软雅黑" w:eastAsia="微软雅黑" w:cs="Arial"/>
          <w:color w:val="000000"/>
          <w:spacing w:val="8"/>
          <w:sz w:val="21"/>
          <w:szCs w:val="21"/>
          <w:lang w:val="en-US" w:eastAsia="zh-CN"/>
        </w:rPr>
        <w:t>8</w:t>
      </w:r>
      <w:r>
        <w:rPr>
          <w:rFonts w:hint="default" w:ascii="微软雅黑" w:hAnsi="微软雅黑" w:eastAsia="微软雅黑" w:cs="Arial"/>
          <w:color w:val="000000"/>
          <w:spacing w:val="8"/>
          <w:sz w:val="21"/>
          <w:szCs w:val="21"/>
        </w:rPr>
        <w:t>月</w:t>
      </w:r>
      <w:r>
        <w:rPr>
          <w:rFonts w:hint="eastAsia" w:ascii="微软雅黑" w:hAnsi="微软雅黑" w:eastAsia="微软雅黑" w:cs="Arial"/>
          <w:color w:val="000000"/>
          <w:spacing w:val="8"/>
          <w:sz w:val="21"/>
          <w:szCs w:val="21"/>
          <w:lang w:val="en-US" w:eastAsia="zh-CN"/>
        </w:rPr>
        <w:t>10</w:t>
      </w:r>
      <w:r>
        <w:rPr>
          <w:rFonts w:hint="default" w:ascii="微软雅黑" w:hAnsi="微软雅黑" w:eastAsia="微软雅黑" w:cs="Arial"/>
          <w:color w:val="000000"/>
          <w:spacing w:val="8"/>
          <w:sz w:val="21"/>
          <w:szCs w:val="21"/>
        </w:rPr>
        <w:t>-</w:t>
      </w:r>
      <w:r>
        <w:rPr>
          <w:rFonts w:hint="eastAsia" w:ascii="微软雅黑" w:hAnsi="微软雅黑" w:eastAsia="微软雅黑" w:cs="Arial"/>
          <w:color w:val="000000"/>
          <w:spacing w:val="8"/>
          <w:sz w:val="21"/>
          <w:szCs w:val="21"/>
          <w:lang w:val="en-US" w:eastAsia="zh-CN"/>
        </w:rPr>
        <w:t>11</w:t>
      </w:r>
      <w:r>
        <w:rPr>
          <w:rFonts w:hint="default" w:ascii="微软雅黑" w:hAnsi="微软雅黑" w:eastAsia="微软雅黑" w:cs="Arial"/>
          <w:color w:val="000000"/>
          <w:spacing w:val="8"/>
          <w:sz w:val="21"/>
          <w:szCs w:val="21"/>
        </w:rPr>
        <w:t xml:space="preserve">（周四至周五）9:00-14:00 </w:t>
      </w:r>
      <w:r>
        <w:rPr>
          <w:rFonts w:hint="eastAsia" w:ascii="微软雅黑" w:hAnsi="微软雅黑" w:eastAsia="微软雅黑" w:cs="Arial"/>
          <w:color w:val="000000"/>
          <w:spacing w:val="8"/>
          <w:sz w:val="21"/>
          <w:szCs w:val="21"/>
          <w:lang w:val="en-US" w:eastAsia="zh-CN"/>
        </w:rPr>
        <w:t>8</w:t>
      </w:r>
      <w:r>
        <w:rPr>
          <w:rFonts w:hint="default" w:ascii="微软雅黑" w:hAnsi="微软雅黑" w:eastAsia="微软雅黑" w:cs="Arial"/>
          <w:color w:val="000000"/>
          <w:spacing w:val="8"/>
          <w:sz w:val="21"/>
          <w:szCs w:val="21"/>
        </w:rPr>
        <w:t>月</w:t>
      </w:r>
      <w:r>
        <w:rPr>
          <w:rFonts w:hint="eastAsia" w:ascii="微软雅黑" w:hAnsi="微软雅黑" w:eastAsia="微软雅黑" w:cs="Arial"/>
          <w:color w:val="000000"/>
          <w:spacing w:val="8"/>
          <w:sz w:val="21"/>
          <w:szCs w:val="21"/>
          <w:lang w:val="en-US" w:eastAsia="zh-CN"/>
        </w:rPr>
        <w:t>12</w:t>
      </w:r>
      <w:r>
        <w:rPr>
          <w:rFonts w:hint="default" w:ascii="微软雅黑" w:hAnsi="微软雅黑" w:eastAsia="微软雅黑" w:cs="Arial"/>
          <w:color w:val="000000"/>
          <w:spacing w:val="8"/>
          <w:sz w:val="21"/>
          <w:szCs w:val="21"/>
        </w:rPr>
        <w:t>（周六）</w:t>
      </w:r>
    </w:p>
    <w:p>
      <w:pPr>
        <w:spacing w:after="0" w:line="420" w:lineRule="atLeast"/>
        <w:rPr>
          <w:rFonts w:hint="default" w:ascii="微软雅黑" w:hAnsi="微软雅黑" w:eastAsia="微软雅黑" w:cs="Arial"/>
          <w:color w:val="000000"/>
          <w:spacing w:val="8"/>
          <w:sz w:val="21"/>
          <w:szCs w:val="21"/>
        </w:rPr>
      </w:pPr>
      <w:r>
        <w:rPr>
          <w:rFonts w:hint="default" w:ascii="微软雅黑" w:hAnsi="微软雅黑" w:eastAsia="微软雅黑" w:cs="Arial"/>
          <w:color w:val="000000"/>
          <w:spacing w:val="8"/>
          <w:sz w:val="21"/>
          <w:szCs w:val="21"/>
        </w:rPr>
        <w:t>展会地点：  中国·上海新国际博览中心，上海市浦东新区龙阳路2345号</w:t>
      </w:r>
    </w:p>
    <w:p>
      <w:pPr>
        <w:spacing w:after="0" w:line="420" w:lineRule="atLeast"/>
        <w:rPr>
          <w:rFonts w:hint="eastAsia" w:ascii="微软雅黑" w:hAnsi="微软雅黑" w:eastAsia="微软雅黑" w:cs="Arial"/>
          <w:color w:val="000000"/>
          <w:spacing w:val="8"/>
          <w:sz w:val="21"/>
          <w:szCs w:val="21"/>
        </w:rPr>
      </w:pPr>
    </w:p>
    <w:p>
      <w:pPr>
        <w:spacing w:after="0" w:line="420" w:lineRule="atLeast"/>
        <w:rPr>
          <w:rFonts w:ascii="微软雅黑" w:hAnsi="微软雅黑" w:eastAsia="微软雅黑" w:cs="Arial"/>
          <w:color w:val="000000"/>
          <w:spacing w:val="8"/>
          <w:sz w:val="21"/>
          <w:szCs w:val="21"/>
        </w:rPr>
      </w:pPr>
      <w:r>
        <w:rPr>
          <w:rFonts w:hint="eastAsia" w:ascii="微软雅黑" w:hAnsi="微软雅黑" w:eastAsia="微软雅黑" w:cs="Arial"/>
          <w:b/>
          <w:bCs/>
          <w:color w:val="6AB74B"/>
          <w:spacing w:val="8"/>
          <w:sz w:val="23"/>
          <w:szCs w:val="23"/>
          <w:u w:val="single"/>
        </w:rPr>
        <w:t>新展期、新展馆、全新202</w:t>
      </w:r>
      <w:r>
        <w:rPr>
          <w:rFonts w:hint="eastAsia" w:ascii="微软雅黑" w:hAnsi="微软雅黑" w:eastAsia="微软雅黑" w:cs="Arial"/>
          <w:b/>
          <w:bCs/>
          <w:color w:val="6AB74B"/>
          <w:spacing w:val="8"/>
          <w:sz w:val="23"/>
          <w:szCs w:val="23"/>
          <w:u w:val="single"/>
          <w:lang w:val="en-US" w:eastAsia="zh-CN"/>
        </w:rPr>
        <w:t>3</w:t>
      </w:r>
      <w:r>
        <w:rPr>
          <w:rFonts w:hint="eastAsia" w:ascii="微软雅黑" w:hAnsi="微软雅黑" w:eastAsia="微软雅黑" w:cs="Arial"/>
          <w:b/>
          <w:bCs/>
          <w:color w:val="6AB74B"/>
          <w:spacing w:val="8"/>
          <w:sz w:val="23"/>
          <w:szCs w:val="23"/>
          <w:u w:val="single"/>
        </w:rPr>
        <w:t xml:space="preserve"> WOCA</w:t>
      </w:r>
      <w:r>
        <w:rPr>
          <w:rFonts w:hint="eastAsia" w:ascii="微软雅黑" w:hAnsi="微软雅黑" w:eastAsia="微软雅黑" w:cs="Arial"/>
          <w:spacing w:val="8"/>
          <w:sz w:val="21"/>
          <w:szCs w:val="21"/>
        </w:rPr>
        <w:t>将围绕以下</w:t>
      </w:r>
      <w:r>
        <w:rPr>
          <w:rFonts w:hint="eastAsia" w:ascii="微软雅黑" w:hAnsi="微软雅黑" w:eastAsia="微软雅黑" w:cs="Arial"/>
          <w:b/>
          <w:bCs/>
          <w:color w:val="6AB74B"/>
          <w:spacing w:val="8"/>
          <w:sz w:val="23"/>
          <w:szCs w:val="23"/>
        </w:rPr>
        <w:t>五大方向</w:t>
      </w:r>
      <w:r>
        <w:rPr>
          <w:rFonts w:hint="eastAsia" w:ascii="微软雅黑" w:hAnsi="微软雅黑" w:eastAsia="微软雅黑" w:cs="Arial"/>
          <w:color w:val="000000"/>
          <w:spacing w:val="8"/>
          <w:sz w:val="21"/>
          <w:szCs w:val="21"/>
        </w:rPr>
        <w:t>打造亚洲混凝土行业年度盛会，全力保障大家更好的一站式参观、参展体验。</w:t>
      </w:r>
    </w:p>
    <w:p>
      <w:pPr>
        <w:spacing w:after="0" w:line="420" w:lineRule="atLeast"/>
        <w:rPr>
          <w:rFonts w:ascii="微软雅黑" w:hAnsi="微软雅黑" w:eastAsia="微软雅黑" w:cs="Arial"/>
          <w:color w:val="000000"/>
          <w:spacing w:val="8"/>
          <w:sz w:val="21"/>
          <w:szCs w:val="21"/>
        </w:rPr>
      </w:pPr>
    </w:p>
    <w:p>
      <w:pPr>
        <w:spacing w:after="0" w:line="240" w:lineRule="auto"/>
        <w:jc w:val="center"/>
        <w:rPr>
          <w:rFonts w:ascii="Arial" w:hAnsi="Arial" w:eastAsia="Times New Roman" w:cs="Arial"/>
          <w:sz w:val="24"/>
          <w:szCs w:val="24"/>
        </w:rPr>
      </w:pPr>
    </w:p>
    <w:p>
      <w:pPr>
        <w:rPr>
          <w:rFonts w:hint="eastAsia" w:ascii="宋体" w:hAnsi="宋体" w:eastAsia="宋体" w:cs="宋体"/>
          <w:b/>
          <w:bCs/>
          <w:sz w:val="24"/>
          <w:szCs w:val="24"/>
          <w:lang w:eastAsia="zh-CN"/>
        </w:rPr>
      </w:pPr>
      <w:r>
        <w:rPr>
          <w:rFonts w:ascii="Times New Roman" w:hAnsi="Times New Roman" w:eastAsia="Times New Roman" w:cs="Times New Roman"/>
          <w:b/>
          <w:bCs/>
          <w:sz w:val="24"/>
          <w:szCs w:val="24"/>
        </w:rPr>
        <w:t>01</w:t>
      </w:r>
      <w:r>
        <w:rPr>
          <w:rFonts w:hint="eastAsia" w:ascii="宋体" w:hAnsi="宋体" w:eastAsia="宋体" w:cs="宋体"/>
          <w:b/>
          <w:bCs/>
          <w:sz w:val="24"/>
          <w:szCs w:val="24"/>
        </w:rPr>
        <w:t>混凝土行业全品类延伸</w:t>
      </w:r>
    </w:p>
    <w:p>
      <w:pPr>
        <w:rPr>
          <w:rFonts w:hint="eastAsia" w:ascii="宋体" w:hAnsi="宋体" w:eastAsia="宋体" w:cs="宋体"/>
          <w:b/>
          <w:bCs/>
          <w:sz w:val="24"/>
          <w:szCs w:val="24"/>
          <w:lang w:eastAsia="zh-CN"/>
        </w:rPr>
      </w:pPr>
    </w:p>
    <w:p>
      <w:pPr>
        <w:rPr>
          <w:sz w:val="24"/>
          <w:szCs w:val="24"/>
        </w:rPr>
      </w:pPr>
      <w:r>
        <w:rPr>
          <w:rFonts w:ascii="微软雅黑" w:hAnsi="微软雅黑" w:eastAsia="微软雅黑" w:cs="微软雅黑"/>
          <w:color w:val="000000"/>
          <w:spacing w:val="10"/>
          <w:sz w:val="24"/>
          <w:szCs w:val="24"/>
          <w:lang w:bidi="ar"/>
        </w:rPr>
        <w:t>全品类延伸可为更多优质经销代理商、施工商、贸易商，以及各大业主单位搭建平台，</w:t>
      </w:r>
      <w:r>
        <w:rPr>
          <w:rStyle w:val="8"/>
          <w:rFonts w:ascii="微软雅黑" w:hAnsi="微软雅黑" w:eastAsia="微软雅黑" w:cs="微软雅黑"/>
          <w:color w:val="6AB74B"/>
          <w:spacing w:val="10"/>
          <w:sz w:val="24"/>
          <w:szCs w:val="24"/>
          <w:lang w:bidi="ar"/>
        </w:rPr>
        <w:t>全面服务并帮助他们快速、精准的定位到感兴趣的产品企业，提升采购商高效决策力与高质量产品/技术的推进。</w:t>
      </w:r>
    </w:p>
    <w:p>
      <w:pPr>
        <w:spacing w:after="0" w:line="240" w:lineRule="auto"/>
        <w:rPr>
          <w:rFonts w:ascii="Times New Roman" w:hAnsi="Times New Roman" w:eastAsia="Times New Roman" w:cs="Times New Roman"/>
          <w:sz w:val="24"/>
          <w:szCs w:val="24"/>
        </w:rPr>
      </w:pPr>
      <w:r>
        <w:rPr>
          <w:rFonts w:hint="eastAsia" w:ascii="微软雅黑" w:hAnsi="微软雅黑" w:eastAsia="微软雅黑" w:cs="Times New Roman"/>
          <w:b/>
          <w:bCs/>
          <w:color w:val="000000"/>
          <w:sz w:val="21"/>
          <w:szCs w:val="21"/>
        </w:rPr>
        <w:t>▏</w:t>
      </w:r>
      <w:r>
        <w:rPr>
          <w:rFonts w:hint="eastAsia" w:ascii="微软雅黑" w:hAnsi="微软雅黑" w:eastAsia="微软雅黑" w:cs="Times New Roman"/>
          <w:b/>
          <w:bCs/>
          <w:color w:val="000000"/>
          <w:sz w:val="23"/>
          <w:szCs w:val="23"/>
        </w:rPr>
        <w:t>通用混凝土  </w:t>
      </w:r>
    </w:p>
    <w:p>
      <w:pPr>
        <w:spacing w:after="0" w:line="240" w:lineRule="auto"/>
        <w:rPr>
          <w:rFonts w:hint="eastAsia" w:ascii="微软雅黑" w:hAnsi="微软雅黑" w:eastAsia="微软雅黑" w:cs="Times New Roman"/>
          <w:b/>
          <w:bCs/>
          <w:color w:val="666666"/>
          <w:sz w:val="18"/>
          <w:szCs w:val="18"/>
        </w:rPr>
      </w:pPr>
      <w:r>
        <w:rPr>
          <w:rFonts w:hint="eastAsia" w:ascii="微软雅黑" w:hAnsi="微软雅黑" w:eastAsia="微软雅黑" w:cs="Times New Roman"/>
          <w:b/>
          <w:bCs/>
          <w:color w:val="666666"/>
          <w:sz w:val="18"/>
          <w:szCs w:val="18"/>
        </w:rPr>
        <w:t>展品范围：搅拌设备；混凝土运输；现浇混凝土；预制混凝土；混凝土预制产品等；混凝土切割设备，破碎设备，爆破技术等；耗材；矿山设备；废弃混凝土再生处理设备及产品；混凝土外加剂；混凝土检测仪器及设备；混凝土加固技术及设备；装饰混凝土及颜料等；透水砖；水泥</w:t>
      </w:r>
    </w:p>
    <w:p>
      <w:pPr>
        <w:spacing w:after="0" w:line="240" w:lineRule="auto"/>
        <w:rPr>
          <w:rFonts w:hint="eastAsia" w:ascii="微软雅黑" w:hAnsi="微软雅黑" w:eastAsia="微软雅黑" w:cs="Times New Roman"/>
          <w:b/>
          <w:bCs/>
          <w:color w:val="666666"/>
          <w:sz w:val="18"/>
          <w:szCs w:val="18"/>
          <w:lang w:eastAsia="zh-CN"/>
        </w:rPr>
      </w:pPr>
    </w:p>
    <w:p>
      <w:pPr>
        <w:spacing w:after="0" w:line="240" w:lineRule="auto"/>
        <w:rPr>
          <w:rFonts w:ascii="Times New Roman" w:hAnsi="Times New Roman" w:eastAsia="Times New Roman" w:cs="Times New Roman"/>
          <w:sz w:val="24"/>
          <w:szCs w:val="24"/>
        </w:rPr>
      </w:pPr>
      <w:r>
        <w:rPr>
          <w:rFonts w:hint="eastAsia" w:ascii="微软雅黑" w:hAnsi="微软雅黑" w:eastAsia="微软雅黑" w:cs="Times New Roman"/>
          <w:b/>
          <w:bCs/>
          <w:color w:val="000000"/>
          <w:sz w:val="21"/>
          <w:szCs w:val="21"/>
        </w:rPr>
        <w:t>▏</w:t>
      </w:r>
      <w:r>
        <w:rPr>
          <w:rFonts w:hint="eastAsia" w:ascii="微软雅黑" w:hAnsi="微软雅黑" w:eastAsia="微软雅黑" w:cs="Times New Roman"/>
          <w:b/>
          <w:bCs/>
          <w:color w:val="000000"/>
          <w:sz w:val="23"/>
          <w:szCs w:val="23"/>
        </w:rPr>
        <w:t>混凝土表面处理</w:t>
      </w:r>
      <w:r>
        <w:rPr>
          <w:rFonts w:hint="eastAsia" w:ascii="微软雅黑" w:hAnsi="微软雅黑" w:eastAsia="微软雅黑" w:cs="Times New Roman"/>
          <w:b/>
          <w:bCs/>
          <w:color w:val="000000"/>
          <w:sz w:val="18"/>
          <w:szCs w:val="18"/>
        </w:rPr>
        <w:t>  </w:t>
      </w:r>
    </w:p>
    <w:p>
      <w:pPr>
        <w:spacing w:after="0" w:line="240" w:lineRule="auto"/>
        <w:rPr>
          <w:rFonts w:ascii="Times New Roman" w:hAnsi="Times New Roman" w:eastAsia="Times New Roman" w:cs="Times New Roman"/>
          <w:color w:val="666666"/>
          <w:sz w:val="24"/>
          <w:szCs w:val="24"/>
        </w:rPr>
      </w:pPr>
      <w:r>
        <w:rPr>
          <w:rFonts w:hint="eastAsia" w:ascii="微软雅黑" w:hAnsi="微软雅黑" w:eastAsia="微软雅黑" w:cs="Times New Roman"/>
          <w:b/>
          <w:bCs/>
          <w:color w:val="666666"/>
          <w:sz w:val="18"/>
          <w:szCs w:val="18"/>
        </w:rPr>
        <w:t>展品范围：整平设备；抹光设备；抛光设备；抛丸设备；特种涂料；吸尘/清洁设备；小工具类；耗材</w:t>
      </w:r>
    </w:p>
    <w:p>
      <w:pPr>
        <w:spacing w:after="0" w:line="240" w:lineRule="auto"/>
        <w:rPr>
          <w:rFonts w:hint="eastAsia" w:ascii="微软雅黑" w:hAnsi="微软雅黑" w:eastAsia="微软雅黑" w:cs="Times New Roman"/>
          <w:b/>
          <w:bCs/>
          <w:color w:val="000000"/>
          <w:sz w:val="21"/>
          <w:szCs w:val="21"/>
          <w:lang w:eastAsia="zh-CN"/>
        </w:rPr>
      </w:pPr>
    </w:p>
    <w:p>
      <w:pPr>
        <w:spacing w:after="0" w:line="240" w:lineRule="auto"/>
        <w:rPr>
          <w:rFonts w:ascii="Times New Roman" w:hAnsi="Times New Roman" w:eastAsia="Times New Roman" w:cs="Times New Roman"/>
          <w:sz w:val="24"/>
          <w:szCs w:val="24"/>
        </w:rPr>
      </w:pPr>
      <w:r>
        <w:rPr>
          <w:rFonts w:hint="eastAsia" w:ascii="微软雅黑" w:hAnsi="微软雅黑" w:eastAsia="微软雅黑" w:cs="Times New Roman"/>
          <w:b/>
          <w:bCs/>
          <w:color w:val="000000"/>
          <w:sz w:val="21"/>
          <w:szCs w:val="21"/>
        </w:rPr>
        <w:t>▏</w:t>
      </w:r>
      <w:r>
        <w:rPr>
          <w:rFonts w:hint="eastAsia" w:ascii="微软雅黑" w:hAnsi="微软雅黑" w:eastAsia="微软雅黑" w:cs="Times New Roman"/>
          <w:b/>
          <w:bCs/>
          <w:color w:val="000000"/>
          <w:sz w:val="23"/>
          <w:szCs w:val="23"/>
        </w:rPr>
        <w:t>地面系统 </w:t>
      </w:r>
    </w:p>
    <w:p>
      <w:pPr>
        <w:spacing w:after="0" w:line="240" w:lineRule="auto"/>
        <w:rPr>
          <w:rFonts w:ascii="Times New Roman" w:hAnsi="Times New Roman" w:eastAsia="Times New Roman" w:cs="Times New Roman"/>
          <w:color w:val="666666"/>
          <w:sz w:val="24"/>
          <w:szCs w:val="24"/>
        </w:rPr>
      </w:pPr>
      <w:r>
        <w:rPr>
          <w:rFonts w:hint="eastAsia" w:ascii="微软雅黑" w:hAnsi="微软雅黑" w:eastAsia="微软雅黑" w:cs="Times New Roman"/>
          <w:b/>
          <w:bCs/>
          <w:color w:val="666666"/>
          <w:sz w:val="18"/>
          <w:szCs w:val="18"/>
        </w:rPr>
        <w:t>展品范围：地坪设计；环氧地坪；聚氨酯地坪；磨石地坪；卷材地坪；运动地坪；水泥基自流平；其它地坪</w:t>
      </w:r>
    </w:p>
    <w:p>
      <w:pPr>
        <w:spacing w:after="0" w:line="240" w:lineRule="auto"/>
        <w:rPr>
          <w:rFonts w:hint="eastAsia" w:ascii="微软雅黑" w:hAnsi="微软雅黑" w:eastAsia="微软雅黑" w:cs="Times New Roman"/>
          <w:b/>
          <w:bCs/>
          <w:color w:val="000000"/>
          <w:sz w:val="21"/>
          <w:szCs w:val="21"/>
          <w:lang w:eastAsia="zh-CN"/>
        </w:rPr>
      </w:pPr>
    </w:p>
    <w:p>
      <w:pPr>
        <w:spacing w:after="0" w:line="240" w:lineRule="auto"/>
        <w:rPr>
          <w:rFonts w:ascii="Times New Roman" w:hAnsi="Times New Roman" w:eastAsia="Times New Roman" w:cs="Times New Roman"/>
          <w:sz w:val="24"/>
          <w:szCs w:val="24"/>
        </w:rPr>
      </w:pPr>
      <w:r>
        <w:rPr>
          <w:rFonts w:hint="eastAsia" w:ascii="微软雅黑" w:hAnsi="微软雅黑" w:eastAsia="微软雅黑" w:cs="Times New Roman"/>
          <w:b/>
          <w:bCs/>
          <w:color w:val="000000"/>
          <w:sz w:val="21"/>
          <w:szCs w:val="21"/>
        </w:rPr>
        <w:t>▏</w:t>
      </w:r>
      <w:r>
        <w:rPr>
          <w:rFonts w:hint="eastAsia" w:ascii="微软雅黑" w:hAnsi="微软雅黑" w:eastAsia="微软雅黑" w:cs="Times New Roman"/>
          <w:b/>
          <w:bCs/>
          <w:color w:val="000000"/>
          <w:sz w:val="23"/>
          <w:szCs w:val="23"/>
        </w:rPr>
        <w:t>砂浆及砌筑  </w:t>
      </w:r>
    </w:p>
    <w:p>
      <w:pPr>
        <w:spacing w:after="0" w:line="240" w:lineRule="auto"/>
        <w:rPr>
          <w:rFonts w:ascii="Times New Roman" w:hAnsi="Times New Roman" w:eastAsia="Times New Roman" w:cs="Times New Roman"/>
          <w:color w:val="666666"/>
          <w:sz w:val="24"/>
          <w:szCs w:val="24"/>
        </w:rPr>
      </w:pPr>
      <w:r>
        <w:rPr>
          <w:rFonts w:hint="eastAsia" w:ascii="微软雅黑" w:hAnsi="微软雅黑" w:eastAsia="微软雅黑" w:cs="Times New Roman"/>
          <w:b/>
          <w:bCs/>
          <w:color w:val="666666"/>
          <w:sz w:val="18"/>
          <w:szCs w:val="18"/>
        </w:rPr>
        <w:t>展品范围：砂浆：水泥基砂浆，石膏基砂浆，特种砂浆等；砂浆生产设备，包装设备等；运输设备；喷涂设备；砂浆添加剂</w:t>
      </w:r>
    </w:p>
    <w:p>
      <w:pPr>
        <w:spacing w:after="0" w:line="240" w:lineRule="auto"/>
        <w:rPr>
          <w:rFonts w:hint="eastAsia" w:ascii="微软雅黑" w:hAnsi="微软雅黑" w:eastAsia="微软雅黑" w:cs="Times New Roman"/>
          <w:b/>
          <w:bCs/>
          <w:color w:val="000000"/>
          <w:sz w:val="21"/>
          <w:szCs w:val="21"/>
          <w:lang w:eastAsia="zh-CN"/>
        </w:rPr>
      </w:pPr>
    </w:p>
    <w:p>
      <w:pPr>
        <w:spacing w:after="0" w:line="240" w:lineRule="auto"/>
        <w:rPr>
          <w:rFonts w:ascii="Times New Roman" w:hAnsi="Times New Roman" w:eastAsia="Times New Roman" w:cs="Times New Roman"/>
          <w:sz w:val="24"/>
          <w:szCs w:val="24"/>
        </w:rPr>
      </w:pPr>
      <w:r>
        <w:rPr>
          <w:rFonts w:hint="eastAsia" w:ascii="微软雅黑" w:hAnsi="微软雅黑" w:eastAsia="微软雅黑" w:cs="Times New Roman"/>
          <w:b/>
          <w:bCs/>
          <w:color w:val="000000"/>
          <w:sz w:val="21"/>
          <w:szCs w:val="21"/>
        </w:rPr>
        <w:t>▏</w:t>
      </w:r>
      <w:r>
        <w:rPr>
          <w:rFonts w:hint="eastAsia" w:ascii="微软雅黑" w:hAnsi="微软雅黑" w:eastAsia="微软雅黑" w:cs="Times New Roman"/>
          <w:b/>
          <w:bCs/>
          <w:color w:val="000000"/>
          <w:sz w:val="23"/>
          <w:szCs w:val="23"/>
        </w:rPr>
        <w:t>模板脚手架及生产设备  </w:t>
      </w:r>
    </w:p>
    <w:p>
      <w:pPr>
        <w:spacing w:after="0" w:line="240" w:lineRule="auto"/>
        <w:rPr>
          <w:rFonts w:hint="eastAsia" w:ascii="微软雅黑" w:hAnsi="微软雅黑" w:eastAsia="微软雅黑" w:cs="Times New Roman"/>
          <w:b/>
          <w:bCs/>
          <w:color w:val="666666"/>
          <w:sz w:val="18"/>
          <w:szCs w:val="18"/>
        </w:rPr>
      </w:pPr>
      <w:r>
        <w:rPr>
          <w:rFonts w:hint="eastAsia" w:ascii="微软雅黑" w:hAnsi="微软雅黑" w:eastAsia="微软雅黑" w:cs="Times New Roman"/>
          <w:b/>
          <w:bCs/>
          <w:color w:val="666666"/>
          <w:sz w:val="18"/>
          <w:szCs w:val="18"/>
        </w:rPr>
        <w:t>展品范围：模板类；脚手架类；加工生产设备类</w:t>
      </w:r>
    </w:p>
    <w:p>
      <w:pPr>
        <w:spacing w:after="0" w:line="240" w:lineRule="auto"/>
        <w:rPr>
          <w:rFonts w:hint="eastAsia" w:ascii="微软雅黑" w:hAnsi="微软雅黑" w:eastAsia="微软雅黑" w:cs="Times New Roman"/>
          <w:b/>
          <w:bCs/>
          <w:color w:val="666666"/>
          <w:sz w:val="18"/>
          <w:szCs w:val="18"/>
        </w:rPr>
      </w:pPr>
    </w:p>
    <w:p>
      <w:pPr>
        <w:spacing w:after="0" w:line="240" w:lineRule="auto"/>
        <w:rPr>
          <w:rFonts w:hint="eastAsia" w:ascii="宋体" w:hAnsi="宋体" w:eastAsia="宋体" w:cs="宋体"/>
          <w:b/>
          <w:bCs/>
          <w:sz w:val="24"/>
          <w:szCs w:val="24"/>
          <w:lang w:eastAsia="zh-CN"/>
        </w:rPr>
      </w:pPr>
      <w:r>
        <w:rPr>
          <w:rFonts w:ascii="Times New Roman" w:hAnsi="Times New Roman" w:eastAsia="Times New Roman" w:cs="Times New Roman"/>
          <w:b/>
          <w:bCs/>
          <w:sz w:val="24"/>
          <w:szCs w:val="24"/>
        </w:rPr>
        <w:t>02</w:t>
      </w:r>
      <w:r>
        <w:rPr>
          <w:rFonts w:hint="eastAsia" w:ascii="宋体" w:hAnsi="宋体" w:eastAsia="宋体" w:cs="宋体"/>
          <w:b/>
          <w:bCs/>
          <w:sz w:val="24"/>
          <w:szCs w:val="24"/>
        </w:rPr>
        <w:t>丰富的行业引领性盛会</w:t>
      </w:r>
    </w:p>
    <w:p>
      <w:pPr>
        <w:spacing w:after="0" w:line="240" w:lineRule="auto"/>
        <w:rPr>
          <w:rFonts w:hint="eastAsia" w:ascii="宋体" w:hAnsi="宋体" w:eastAsia="宋体" w:cs="宋体"/>
          <w:b/>
          <w:bCs/>
          <w:sz w:val="24"/>
          <w:szCs w:val="24"/>
          <w:lang w:eastAsia="zh-CN"/>
        </w:rPr>
      </w:pP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b/>
          <w:bCs/>
          <w:color w:val="6AB74B"/>
          <w:spacing w:val="8"/>
          <w:sz w:val="23"/>
          <w:szCs w:val="23"/>
        </w:rPr>
        <w:t>会议论坛</w:t>
      </w: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color w:val="000000"/>
          <w:spacing w:val="8"/>
          <w:sz w:val="21"/>
          <w:szCs w:val="21"/>
        </w:rPr>
        <w:t>混凝土破损修复论坛</w:t>
      </w: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color w:val="000000"/>
          <w:spacing w:val="8"/>
          <w:sz w:val="21"/>
          <w:szCs w:val="21"/>
        </w:rPr>
        <w:t>地坪混凝土与外加剂应用技术论坛</w:t>
      </w: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color w:val="000000"/>
          <w:spacing w:val="8"/>
          <w:sz w:val="21"/>
          <w:szCs w:val="21"/>
        </w:rPr>
        <w:t>水泥基砂浆地坪研讨会</w:t>
      </w: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color w:val="000000"/>
          <w:spacing w:val="8"/>
          <w:sz w:val="21"/>
          <w:szCs w:val="21"/>
        </w:rPr>
        <w:t>石膏基砂浆关键技术与生产应用论坛</w:t>
      </w: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color w:val="000000"/>
          <w:spacing w:val="8"/>
          <w:sz w:val="21"/>
          <w:szCs w:val="21"/>
        </w:rPr>
        <w:t>仓储基地、物流中心的地坪工程设计论坛</w:t>
      </w: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color w:val="000000"/>
          <w:spacing w:val="8"/>
          <w:sz w:val="21"/>
          <w:szCs w:val="21"/>
        </w:rPr>
        <w:t>医药/食品GMP车间地面翻新应用论坛</w:t>
      </w:r>
    </w:p>
    <w:p>
      <w:pPr>
        <w:spacing w:after="0" w:line="420" w:lineRule="atLeast"/>
        <w:ind w:left="75" w:right="75"/>
        <w:rPr>
          <w:rFonts w:ascii="微软雅黑" w:hAnsi="微软雅黑" w:eastAsia="微软雅黑" w:cs="Arial"/>
          <w:color w:val="000000"/>
          <w:spacing w:val="8"/>
          <w:sz w:val="21"/>
          <w:szCs w:val="21"/>
        </w:rPr>
      </w:pPr>
      <w:r>
        <w:rPr>
          <w:rFonts w:hint="eastAsia" w:ascii="微软雅黑" w:hAnsi="微软雅黑" w:eastAsia="微软雅黑" w:cs="Arial"/>
          <w:color w:val="000000"/>
          <w:spacing w:val="8"/>
          <w:sz w:val="21"/>
          <w:szCs w:val="21"/>
        </w:rPr>
        <w:t>终端电子产业制造厂房检测与改造论坛</w:t>
      </w:r>
    </w:p>
    <w:p>
      <w:pPr>
        <w:spacing w:after="0" w:line="420" w:lineRule="atLeast"/>
        <w:ind w:left="75" w:right="75"/>
        <w:rPr>
          <w:rFonts w:ascii="微软雅黑" w:hAnsi="微软雅黑" w:eastAsia="微软雅黑" w:cs="Arial"/>
          <w:color w:val="000000"/>
          <w:spacing w:val="8"/>
          <w:sz w:val="21"/>
          <w:szCs w:val="21"/>
        </w:rPr>
      </w:pPr>
    </w:p>
    <w:p>
      <w:pPr>
        <w:jc w:val="both"/>
        <w:rPr>
          <w:sz w:val="21"/>
          <w:szCs w:val="21"/>
        </w:rPr>
      </w:pPr>
      <w:r>
        <w:rPr>
          <w:rFonts w:ascii="微软雅黑" w:hAnsi="微软雅黑" w:eastAsia="微软雅黑" w:cs="微软雅黑"/>
          <w:color w:val="000000"/>
          <w:spacing w:val="10"/>
          <w:sz w:val="21"/>
          <w:szCs w:val="21"/>
          <w:lang w:bidi="ar"/>
        </w:rPr>
        <w:t>WOCA会议论坛围绕——“地面系统不同类型的破损如何定义、修复？”“石膏砂浆关键技术与生产应用案例详解、水泥基砂浆地坪未来的巨大市场、无机磨石基层处理的秘诀？”“混凝土外加剂如何同时解决和易性在泵送和摊铺施工环节问题？”等多话题进行，由</w:t>
      </w:r>
      <w:r>
        <w:rPr>
          <w:rStyle w:val="8"/>
          <w:rFonts w:ascii="微软雅黑" w:hAnsi="微软雅黑" w:eastAsia="微软雅黑" w:cs="微软雅黑"/>
          <w:color w:val="6AB74B"/>
          <w:spacing w:val="10"/>
          <w:sz w:val="21"/>
          <w:szCs w:val="21"/>
          <w:lang w:bidi="ar"/>
        </w:rPr>
        <w:t>专家、学者、企业领导等到场分享研究成果、解析痛点热点、探讨产业趋势</w:t>
      </w:r>
      <w:r>
        <w:rPr>
          <w:rFonts w:ascii="微软雅黑" w:hAnsi="微软雅黑" w:eastAsia="微软雅黑" w:cs="微软雅黑"/>
          <w:color w:val="000000"/>
          <w:spacing w:val="10"/>
          <w:sz w:val="21"/>
          <w:szCs w:val="21"/>
          <w:lang w:bidi="ar"/>
        </w:rPr>
        <w:t>，</w:t>
      </w:r>
      <w:r>
        <w:rPr>
          <w:rStyle w:val="8"/>
          <w:rFonts w:ascii="微软雅黑" w:hAnsi="微软雅黑" w:eastAsia="微软雅黑" w:cs="微软雅黑"/>
          <w:color w:val="6AB74B"/>
          <w:spacing w:val="10"/>
          <w:sz w:val="21"/>
          <w:szCs w:val="21"/>
          <w:lang w:bidi="ar"/>
        </w:rPr>
        <w:t>致力于为行业提供最热解决方案</w:t>
      </w:r>
      <w:r>
        <w:rPr>
          <w:rFonts w:ascii="微软雅黑" w:hAnsi="微软雅黑" w:eastAsia="微软雅黑" w:cs="微软雅黑"/>
          <w:color w:val="000000"/>
          <w:spacing w:val="10"/>
          <w:sz w:val="21"/>
          <w:szCs w:val="21"/>
          <w:lang w:bidi="ar"/>
        </w:rPr>
        <w:t>。</w:t>
      </w:r>
    </w:p>
    <w:p>
      <w:pPr>
        <w:spacing w:after="0" w:line="420" w:lineRule="atLeast"/>
        <w:ind w:left="75" w:right="75"/>
        <w:rPr>
          <w:rFonts w:ascii="微软雅黑" w:hAnsi="微软雅黑" w:eastAsia="微软雅黑" w:cs="Arial"/>
          <w:color w:val="000000"/>
          <w:spacing w:val="8"/>
          <w:sz w:val="21"/>
          <w:szCs w:val="21"/>
        </w:rPr>
      </w:pP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b/>
          <w:bCs/>
          <w:color w:val="6AB74B"/>
          <w:spacing w:val="8"/>
          <w:sz w:val="23"/>
          <w:szCs w:val="23"/>
        </w:rPr>
        <w:t>国际奖项评选</w:t>
      </w: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color w:val="000000"/>
          <w:spacing w:val="8"/>
          <w:sz w:val="21"/>
          <w:szCs w:val="21"/>
        </w:rPr>
        <w:t>2021&amp;2022 GTA金镘刀奖-亚洲区颁奖典礼 及 案例分享</w:t>
      </w:r>
    </w:p>
    <w:p>
      <w:pPr>
        <w:spacing w:after="0" w:line="420" w:lineRule="atLeast"/>
        <w:ind w:left="75" w:right="75"/>
        <w:rPr>
          <w:rFonts w:ascii="微软雅黑" w:hAnsi="微软雅黑" w:eastAsia="微软雅黑" w:cs="Arial"/>
          <w:color w:val="000000"/>
          <w:spacing w:val="8"/>
          <w:sz w:val="21"/>
          <w:szCs w:val="21"/>
        </w:rPr>
      </w:pPr>
      <w:r>
        <w:rPr>
          <w:rFonts w:hint="eastAsia" w:ascii="微软雅黑" w:hAnsi="微软雅黑" w:eastAsia="微软雅黑" w:cs="Arial"/>
          <w:color w:val="000000"/>
          <w:spacing w:val="8"/>
          <w:sz w:val="21"/>
          <w:szCs w:val="21"/>
        </w:rPr>
        <w:t>2021&amp;2022 WOCA 地坪奖-亚洲赛区颁奖典礼 及 案例分享</w:t>
      </w:r>
    </w:p>
    <w:p>
      <w:pPr>
        <w:spacing w:after="0" w:line="420" w:lineRule="atLeast"/>
        <w:ind w:left="75" w:right="75"/>
        <w:rPr>
          <w:rFonts w:ascii="微软雅黑" w:hAnsi="微软雅黑" w:eastAsia="微软雅黑" w:cs="Arial"/>
          <w:color w:val="000000"/>
          <w:spacing w:val="8"/>
          <w:sz w:val="21"/>
          <w:szCs w:val="21"/>
        </w:rPr>
      </w:pPr>
    </w:p>
    <w:p>
      <w:pPr>
        <w:jc w:val="both"/>
        <w:rPr>
          <w:sz w:val="21"/>
          <w:szCs w:val="21"/>
        </w:rPr>
      </w:pPr>
      <w:r>
        <w:rPr>
          <w:rFonts w:ascii="微软雅黑" w:hAnsi="微软雅黑" w:eastAsia="微软雅黑" w:cs="微软雅黑"/>
          <w:color w:val="000000"/>
          <w:spacing w:val="10"/>
          <w:sz w:val="21"/>
          <w:szCs w:val="21"/>
          <w:lang w:bidi="ar"/>
        </w:rPr>
        <w:t>WOCA 一直致力于整合全球先进施工技术及资源，助力亚洲地区施工技术及水平的进步和提升。</w:t>
      </w:r>
      <w:r>
        <w:rPr>
          <w:rStyle w:val="8"/>
          <w:rFonts w:ascii="微软雅黑" w:hAnsi="微软雅黑" w:eastAsia="微软雅黑" w:cs="微软雅黑"/>
          <w:color w:val="6AB74B"/>
          <w:spacing w:val="10"/>
          <w:sz w:val="21"/>
          <w:szCs w:val="21"/>
          <w:lang w:bidi="ar"/>
        </w:rPr>
        <w:t>WOCA AWARDS 与 GTA金镘刀</w:t>
      </w:r>
      <w:r>
        <w:rPr>
          <w:rFonts w:ascii="微软雅黑" w:hAnsi="微软雅黑" w:eastAsia="微软雅黑" w:cs="微软雅黑"/>
          <w:color w:val="000000"/>
          <w:spacing w:val="10"/>
          <w:sz w:val="21"/>
          <w:szCs w:val="21"/>
          <w:lang w:bidi="ar"/>
        </w:rPr>
        <w:t>两大国际奖项将以平整度、耐磨度、拉拔强度三大维度严选具有国际顶级水平的施工项目，以</w:t>
      </w:r>
      <w:r>
        <w:rPr>
          <w:rStyle w:val="8"/>
          <w:rFonts w:ascii="微软雅黑" w:hAnsi="微软雅黑" w:eastAsia="微软雅黑" w:cs="微软雅黑"/>
          <w:color w:val="6AB74B"/>
          <w:spacing w:val="10"/>
          <w:sz w:val="21"/>
          <w:szCs w:val="21"/>
          <w:lang w:bidi="ar"/>
        </w:rPr>
        <w:t>帮助地面施工商施工技艺突破，同时提升混凝土地面建设在总承包商、建筑设计院乃至主业单位中的质量关注</w:t>
      </w:r>
      <w:r>
        <w:rPr>
          <w:rFonts w:ascii="微软雅黑" w:hAnsi="微软雅黑" w:eastAsia="微软雅黑" w:cs="微软雅黑"/>
          <w:color w:val="000000"/>
          <w:spacing w:val="10"/>
          <w:sz w:val="21"/>
          <w:szCs w:val="21"/>
          <w:lang w:bidi="ar"/>
        </w:rPr>
        <w:t>。通过奖项颁发有效</w:t>
      </w:r>
      <w:r>
        <w:rPr>
          <w:rStyle w:val="8"/>
          <w:rFonts w:ascii="微软雅黑" w:hAnsi="微软雅黑" w:eastAsia="微软雅黑" w:cs="微软雅黑"/>
          <w:color w:val="6AB74B"/>
          <w:spacing w:val="10"/>
          <w:sz w:val="21"/>
          <w:szCs w:val="21"/>
          <w:lang w:bidi="ar"/>
        </w:rPr>
        <w:t>促进亚洲地区整体地坪工程质量的卓越进步。</w:t>
      </w:r>
    </w:p>
    <w:p>
      <w:pPr>
        <w:spacing w:after="0" w:line="420" w:lineRule="atLeast"/>
        <w:ind w:left="75" w:right="75"/>
        <w:rPr>
          <w:rFonts w:ascii="微软雅黑" w:hAnsi="微软雅黑" w:eastAsia="微软雅黑" w:cs="Arial"/>
          <w:color w:val="000000"/>
          <w:spacing w:val="8"/>
          <w:sz w:val="21"/>
          <w:szCs w:val="21"/>
        </w:rPr>
      </w:pP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b/>
          <w:bCs/>
          <w:color w:val="6AB74B"/>
          <w:spacing w:val="8"/>
          <w:sz w:val="23"/>
          <w:szCs w:val="23"/>
        </w:rPr>
        <w:t>WOCA施工商晚宴</w:t>
      </w: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color w:val="000000"/>
          <w:spacing w:val="8"/>
          <w:sz w:val="21"/>
          <w:szCs w:val="21"/>
        </w:rPr>
        <w:t>广邀WOCA 地坪奖及亚洲金镘刀奖获奖企业、行业施工商、总承包</w:t>
      </w:r>
    </w:p>
    <w:p>
      <w:pPr>
        <w:spacing w:after="0" w:line="420" w:lineRule="atLeast"/>
        <w:ind w:left="75" w:right="75"/>
        <w:rPr>
          <w:rFonts w:ascii="Arial" w:hAnsi="Arial" w:eastAsia="Times New Roman" w:cs="Arial"/>
          <w:color w:val="333333"/>
          <w:sz w:val="26"/>
          <w:szCs w:val="26"/>
        </w:rPr>
      </w:pPr>
      <w:r>
        <w:rPr>
          <w:rFonts w:hint="eastAsia" w:ascii="微软雅黑" w:hAnsi="微软雅黑" w:eastAsia="微软雅黑" w:cs="Arial"/>
          <w:color w:val="000000"/>
          <w:spacing w:val="8"/>
          <w:sz w:val="21"/>
          <w:szCs w:val="21"/>
        </w:rPr>
        <w:t>商、建筑设备 / 材料品牌厂家 等企业代表共同参与。</w:t>
      </w:r>
    </w:p>
    <w:p>
      <w:pPr>
        <w:spacing w:after="0" w:line="240" w:lineRule="auto"/>
        <w:rPr>
          <w:rFonts w:ascii="Arial" w:hAnsi="Arial" w:eastAsia="Times New Roman" w:cs="Arial"/>
          <w:color w:val="333333"/>
          <w:sz w:val="26"/>
          <w:szCs w:val="26"/>
        </w:rPr>
      </w:pPr>
    </w:p>
    <w:p>
      <w:pPr>
        <w:spacing w:after="0" w:line="420" w:lineRule="atLeast"/>
        <w:ind w:left="75" w:right="75"/>
        <w:jc w:val="center"/>
        <w:rPr>
          <w:rFonts w:ascii="Arial" w:hAnsi="Arial" w:eastAsia="Times New Roman" w:cs="Arial"/>
          <w:color w:val="222222"/>
          <w:spacing w:val="8"/>
          <w:sz w:val="26"/>
          <w:szCs w:val="26"/>
        </w:rPr>
      </w:pPr>
      <w:r>
        <w:rPr>
          <w:rFonts w:ascii="Arial" w:hAnsi="Arial" w:eastAsia="Times New Roman" w:cs="Arial"/>
          <w:color w:val="222222"/>
          <w:spacing w:val="8"/>
          <w:sz w:val="26"/>
          <w:szCs w:val="26"/>
        </w:rPr>
        <w:drawing>
          <wp:inline distT="0" distB="0" distL="0" distR="0">
            <wp:extent cx="5486400" cy="27990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86400" cy="2799080"/>
                    </a:xfrm>
                    <a:prstGeom prst="rect">
                      <a:avLst/>
                    </a:prstGeom>
                    <a:noFill/>
                    <a:ln>
                      <a:noFill/>
                    </a:ln>
                  </pic:spPr>
                </pic:pic>
              </a:graphicData>
            </a:graphic>
          </wp:inline>
        </w:drawing>
      </w:r>
    </w:p>
    <w:p>
      <w:pPr>
        <w:spacing w:after="0" w:line="240" w:lineRule="auto"/>
        <w:jc w:val="center"/>
        <w:rPr>
          <w:rFonts w:ascii="Arial" w:hAnsi="Arial" w:eastAsia="Times New Roman" w:cs="Arial"/>
          <w:color w:val="222222"/>
          <w:spacing w:val="8"/>
          <w:sz w:val="26"/>
          <w:szCs w:val="26"/>
        </w:rPr>
      </w:pPr>
    </w:p>
    <w:p>
      <w:pPr>
        <w:spacing w:after="0" w:line="420" w:lineRule="atLeast"/>
        <w:ind w:left="75" w:right="75"/>
        <w:jc w:val="center"/>
        <w:rPr>
          <w:rFonts w:ascii="Arial" w:hAnsi="Arial" w:eastAsia="Times New Roman" w:cs="Arial"/>
          <w:color w:val="222222"/>
          <w:spacing w:val="8"/>
          <w:sz w:val="26"/>
          <w:szCs w:val="26"/>
        </w:rPr>
      </w:pPr>
    </w:p>
    <w:p>
      <w:pPr>
        <w:spacing w:after="0" w:line="240" w:lineRule="auto"/>
        <w:rPr>
          <w:rFonts w:ascii="Times New Roman" w:hAnsi="Times New Roman" w:eastAsia="Times New Roman" w:cs="Times New Roman"/>
          <w:sz w:val="24"/>
          <w:szCs w:val="24"/>
        </w:rPr>
      </w:pPr>
    </w:p>
    <w:p>
      <w:pPr>
        <w:spacing w:after="0" w:line="240" w:lineRule="auto"/>
        <w:rPr>
          <w:rFonts w:hint="eastAsia" w:ascii="宋体" w:hAnsi="宋体" w:eastAsia="宋体" w:cs="宋体"/>
          <w:b/>
          <w:bCs/>
          <w:sz w:val="24"/>
          <w:szCs w:val="24"/>
          <w:lang w:eastAsia="zh-CN"/>
        </w:rPr>
      </w:pPr>
      <w:r>
        <w:rPr>
          <w:rFonts w:ascii="Times New Roman" w:hAnsi="Times New Roman" w:eastAsia="Times New Roman" w:cs="Times New Roman"/>
          <w:b/>
          <w:bCs/>
          <w:sz w:val="24"/>
          <w:szCs w:val="24"/>
        </w:rPr>
        <w:t>03</w:t>
      </w:r>
      <w:r>
        <w:rPr>
          <w:rFonts w:hint="eastAsia" w:ascii="宋体" w:hAnsi="宋体" w:eastAsia="宋体" w:cs="宋体"/>
          <w:b/>
          <w:bCs/>
          <w:sz w:val="24"/>
          <w:szCs w:val="24"/>
        </w:rPr>
        <w:t>助力参展商品牌多维度提升</w:t>
      </w:r>
    </w:p>
    <w:p>
      <w:pPr>
        <w:spacing w:after="0" w:line="240" w:lineRule="auto"/>
        <w:rPr>
          <w:rFonts w:hint="eastAsia" w:ascii="宋体" w:hAnsi="宋体" w:eastAsia="宋体" w:cs="宋体"/>
          <w:b/>
          <w:bCs/>
          <w:sz w:val="24"/>
          <w:szCs w:val="24"/>
          <w:lang w:eastAsia="zh-CN"/>
        </w:rPr>
      </w:pPr>
    </w:p>
    <w:p>
      <w:pPr>
        <w:spacing w:after="0" w:line="240" w:lineRule="auto"/>
        <w:ind w:left="75" w:right="75"/>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486400" cy="77571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86400" cy="7757160"/>
                    </a:xfrm>
                    <a:prstGeom prst="rect">
                      <a:avLst/>
                    </a:prstGeom>
                    <a:noFill/>
                    <a:ln>
                      <a:noFill/>
                    </a:ln>
                  </pic:spPr>
                </pic:pic>
              </a:graphicData>
            </a:graphic>
          </wp:inline>
        </w:drawing>
      </w:r>
    </w:p>
    <w:p>
      <w:pPr>
        <w:spacing w:after="0" w:line="420" w:lineRule="atLeast"/>
        <w:rPr>
          <w:rFonts w:ascii="Times New Roman" w:hAnsi="Times New Roman" w:eastAsia="Times New Roman" w:cs="Times New Roman"/>
          <w:sz w:val="24"/>
          <w:szCs w:val="24"/>
        </w:rPr>
      </w:pPr>
      <w:r>
        <w:rPr>
          <w:rFonts w:hint="eastAsia" w:ascii="微软雅黑" w:hAnsi="微软雅黑" w:eastAsia="微软雅黑" w:cs="Times New Roman"/>
          <w:b/>
          <w:bCs/>
          <w:color w:val="6AB74B"/>
          <w:spacing w:val="8"/>
          <w:sz w:val="24"/>
          <w:szCs w:val="24"/>
        </w:rPr>
        <w:t>现场实操演示活动</w:t>
      </w:r>
      <w:r>
        <w:rPr>
          <w:rFonts w:hint="eastAsia" w:ascii="微软雅黑" w:hAnsi="微软雅黑" w:eastAsia="微软雅黑" w:cs="Times New Roman"/>
          <w:spacing w:val="8"/>
          <w:sz w:val="24"/>
          <w:szCs w:val="24"/>
        </w:rPr>
        <w:t>重磅回归，通过现场演示和专业讲解相结合的方式让现场每一位参与者不仅能了解到产品的信息，更能在实操过程中看到材料工艺的演变过程。一直深受观众的喜爱，也是亚洲混凝土世界博览会独树一帜的热门活动！</w:t>
      </w:r>
    </w:p>
    <w:p>
      <w:pPr>
        <w:spacing w:after="0" w:line="240" w:lineRule="auto"/>
        <w:rPr>
          <w:rFonts w:hint="eastAsia" w:ascii="Times New Roman" w:hAnsi="Times New Roman" w:eastAsia="宋体" w:cs="Times New Roman"/>
          <w:sz w:val="24"/>
          <w:szCs w:val="24"/>
          <w:lang w:eastAsia="zh-CN"/>
        </w:rPr>
      </w:pPr>
    </w:p>
    <w:p>
      <w:pPr>
        <w:spacing w:after="0" w:line="240" w:lineRule="auto"/>
        <w:rPr>
          <w:rFonts w:hint="eastAsia" w:ascii="Times New Roman" w:hAnsi="Times New Roman" w:eastAsia="宋体" w:cs="Times New Roman"/>
          <w:sz w:val="24"/>
          <w:szCs w:val="24"/>
          <w:lang w:eastAsia="zh-CN"/>
        </w:rPr>
      </w:pPr>
    </w:p>
    <w:p>
      <w:pPr>
        <w:spacing w:after="0" w:line="240" w:lineRule="auto"/>
        <w:rPr>
          <w:rFonts w:hint="eastAsia" w:ascii="Times New Roman" w:hAnsi="Times New Roman" w:eastAsia="宋体" w:cs="Times New Roman"/>
          <w:sz w:val="24"/>
          <w:szCs w:val="24"/>
          <w:lang w:eastAsia="zh-CN"/>
        </w:rPr>
      </w:pPr>
    </w:p>
    <w:p>
      <w:pPr>
        <w:spacing w:after="0" w:line="240" w:lineRule="auto"/>
        <w:ind w:left="75" w:right="75"/>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486400" cy="3657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3657600"/>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hint="eastAsia" w:ascii="微软雅黑" w:hAnsi="微软雅黑" w:eastAsia="微软雅黑" w:cs="Times New Roman"/>
          <w:b/>
          <w:bCs/>
          <w:sz w:val="24"/>
          <w:szCs w:val="24"/>
          <w:lang w:eastAsia="zh-CN"/>
        </w:rPr>
      </w:pPr>
      <w:r>
        <w:rPr>
          <w:rFonts w:ascii="Times New Roman" w:hAnsi="Times New Roman" w:eastAsia="Times New Roman" w:cs="Times New Roman"/>
          <w:b/>
          <w:bCs/>
          <w:sz w:val="24"/>
          <w:szCs w:val="24"/>
        </w:rPr>
        <w:t>04</w:t>
      </w:r>
      <w:r>
        <w:rPr>
          <w:rFonts w:hint="eastAsia" w:ascii="宋体" w:hAnsi="宋体" w:eastAsia="宋体" w:cs="宋体"/>
          <w:b/>
          <w:bCs/>
          <w:sz w:val="24"/>
          <w:szCs w:val="24"/>
        </w:rPr>
        <w:t>助</w:t>
      </w:r>
      <w:r>
        <w:rPr>
          <w:rFonts w:hint="eastAsia" w:ascii="微软雅黑" w:hAnsi="微软雅黑" w:eastAsia="微软雅黑" w:cs="Times New Roman"/>
          <w:b/>
          <w:bCs/>
          <w:sz w:val="24"/>
          <w:szCs w:val="24"/>
        </w:rPr>
        <w:t>力参展商全渠道智慧升级，降本增效</w:t>
      </w:r>
    </w:p>
    <w:p>
      <w:pPr>
        <w:spacing w:after="0" w:line="240" w:lineRule="auto"/>
        <w:rPr>
          <w:rFonts w:hint="eastAsia" w:ascii="微软雅黑" w:hAnsi="微软雅黑" w:eastAsia="微软雅黑" w:cs="Times New Roman"/>
          <w:b/>
          <w:bCs/>
          <w:sz w:val="24"/>
          <w:szCs w:val="24"/>
          <w:lang w:eastAsia="zh-CN"/>
        </w:rPr>
      </w:pPr>
    </w:p>
    <w:p>
      <w:pPr>
        <w:spacing w:after="0" w:line="420" w:lineRule="atLeast"/>
        <w:ind w:left="75" w:right="75"/>
        <w:rPr>
          <w:rFonts w:ascii="Times New Roman" w:hAnsi="Times New Roman" w:eastAsia="Times New Roman" w:cs="Times New Roman"/>
          <w:sz w:val="24"/>
          <w:szCs w:val="24"/>
        </w:rPr>
      </w:pPr>
      <w:r>
        <w:rPr>
          <w:rFonts w:hint="eastAsia" w:ascii="微软雅黑" w:hAnsi="微软雅黑" w:eastAsia="微软雅黑" w:cs="Times New Roman"/>
          <w:color w:val="000000"/>
          <w:spacing w:val="8"/>
          <w:sz w:val="24"/>
          <w:szCs w:val="24"/>
        </w:rPr>
        <w:t>202</w:t>
      </w:r>
      <w:r>
        <w:rPr>
          <w:rFonts w:hint="eastAsia" w:ascii="微软雅黑" w:hAnsi="微软雅黑" w:eastAsia="微软雅黑" w:cs="Times New Roman"/>
          <w:color w:val="000000"/>
          <w:spacing w:val="8"/>
          <w:sz w:val="24"/>
          <w:szCs w:val="24"/>
          <w:lang w:val="en-US" w:eastAsia="zh-CN"/>
        </w:rPr>
        <w:t>3</w:t>
      </w:r>
      <w:r>
        <w:rPr>
          <w:rFonts w:hint="eastAsia" w:ascii="微软雅黑" w:hAnsi="微软雅黑" w:eastAsia="微软雅黑" w:cs="Times New Roman"/>
          <w:color w:val="000000"/>
          <w:spacing w:val="8"/>
          <w:sz w:val="24"/>
          <w:szCs w:val="24"/>
        </w:rPr>
        <w:t>WOCA全新升级打造</w:t>
      </w:r>
      <w:r>
        <w:rPr>
          <w:rFonts w:hint="eastAsia" w:ascii="微软雅黑" w:hAnsi="微软雅黑" w:eastAsia="微软雅黑" w:cs="Times New Roman"/>
          <w:b/>
          <w:bCs/>
          <w:color w:val="6AB74B"/>
          <w:spacing w:val="8"/>
          <w:sz w:val="24"/>
          <w:szCs w:val="24"/>
        </w:rPr>
        <w:t>集展商展品展示与观众互动于一体</w:t>
      </w:r>
      <w:r>
        <w:rPr>
          <w:rFonts w:hint="eastAsia" w:ascii="微软雅黑" w:hAnsi="微软雅黑" w:eastAsia="微软雅黑" w:cs="Times New Roman"/>
          <w:color w:val="000000"/>
          <w:spacing w:val="8"/>
          <w:sz w:val="24"/>
          <w:szCs w:val="24"/>
        </w:rPr>
        <w:t>的线上展览平台，建筑买家都在用的选品找货平台，展商可通过平台发布企业介绍、产品及服务、活动等信息，实现展前线上的精准传播和观众定向邀约。</w:t>
      </w:r>
    </w:p>
    <w:p>
      <w:pPr>
        <w:spacing w:after="0" w:line="240" w:lineRule="auto"/>
        <w:rPr>
          <w:rFonts w:ascii="Times New Roman" w:hAnsi="Times New Roman" w:eastAsia="Times New Roman" w:cs="Times New Roman"/>
          <w:sz w:val="24"/>
          <w:szCs w:val="24"/>
        </w:rPr>
      </w:pPr>
    </w:p>
    <w:p>
      <w:pPr>
        <w:spacing w:after="0" w:line="240" w:lineRule="auto"/>
        <w:rPr>
          <w:rFonts w:hint="eastAsia" w:ascii="微软雅黑" w:hAnsi="微软雅黑" w:eastAsia="微软雅黑" w:cs="Times New Roman"/>
          <w:b/>
          <w:bCs/>
          <w:sz w:val="24"/>
          <w:szCs w:val="24"/>
          <w:lang w:eastAsia="zh-CN"/>
        </w:rPr>
      </w:pPr>
      <w:r>
        <w:rPr>
          <w:rFonts w:hint="eastAsia" w:ascii="微软雅黑" w:hAnsi="微软雅黑" w:eastAsia="微软雅黑" w:cs="Times New Roman"/>
          <w:b/>
          <w:bCs/>
          <w:sz w:val="24"/>
          <w:szCs w:val="24"/>
        </w:rPr>
        <w:t>05助力行业交流对接</w:t>
      </w:r>
    </w:p>
    <w:p>
      <w:pPr>
        <w:spacing w:after="0" w:line="240" w:lineRule="auto"/>
        <w:rPr>
          <w:rFonts w:hint="eastAsia" w:ascii="微软雅黑" w:hAnsi="微软雅黑" w:eastAsia="微软雅黑" w:cs="Times New Roman"/>
          <w:b/>
          <w:bCs/>
          <w:sz w:val="24"/>
          <w:szCs w:val="24"/>
          <w:lang w:eastAsia="zh-CN"/>
        </w:rPr>
      </w:pPr>
    </w:p>
    <w:p>
      <w:pPr>
        <w:spacing w:after="0" w:line="420" w:lineRule="atLeast"/>
        <w:ind w:left="75" w:right="75"/>
        <w:rPr>
          <w:rFonts w:ascii="Times New Roman" w:hAnsi="Times New Roman" w:eastAsia="Times New Roman" w:cs="Times New Roman"/>
          <w:sz w:val="24"/>
          <w:szCs w:val="24"/>
        </w:rPr>
      </w:pPr>
      <w:r>
        <w:rPr>
          <w:rFonts w:hint="eastAsia" w:ascii="微软雅黑" w:hAnsi="微软雅黑" w:eastAsia="微软雅黑" w:cs="Times New Roman"/>
          <w:b/>
          <w:bCs/>
          <w:color w:val="6AB74B"/>
          <w:spacing w:val="8"/>
          <w:sz w:val="24"/>
          <w:szCs w:val="24"/>
        </w:rPr>
        <w:t>高效对接+精准配对</w:t>
      </w:r>
      <w:r>
        <w:rPr>
          <w:rFonts w:hint="eastAsia" w:ascii="微软雅黑" w:hAnsi="微软雅黑" w:eastAsia="微软雅黑" w:cs="Times New Roman"/>
          <w:color w:val="2B2B2B"/>
          <w:spacing w:val="8"/>
          <w:sz w:val="24"/>
          <w:szCs w:val="24"/>
        </w:rPr>
        <w:t>，</w:t>
      </w:r>
      <w:r>
        <w:rPr>
          <w:rFonts w:hint="eastAsia" w:ascii="微软雅黑" w:hAnsi="微软雅黑" w:eastAsia="微软雅黑" w:cs="Times New Roman"/>
          <w:color w:val="000000"/>
          <w:spacing w:val="8"/>
          <w:sz w:val="24"/>
          <w:szCs w:val="24"/>
        </w:rPr>
        <w:t>WOCA助力总包、分包、开发商、设计院等采购决策人与参展商进行一对一商贸配对，提高沟通效率，精准配对合适的供应商，是采购商寻找优质施工解决方案的绝佳平台。</w:t>
      </w:r>
    </w:p>
    <w:p>
      <w:pPr>
        <w:spacing w:after="0" w:line="420" w:lineRule="atLeast"/>
        <w:ind w:left="75" w:right="75"/>
        <w:rPr>
          <w:rFonts w:ascii="Times New Roman" w:hAnsi="Times New Roman" w:eastAsia="Times New Roman" w:cs="Times New Roman"/>
          <w:sz w:val="24"/>
          <w:szCs w:val="24"/>
        </w:rPr>
      </w:pPr>
    </w:p>
    <w:p>
      <w:pPr>
        <w:spacing w:before="75" w:after="0" w:line="420" w:lineRule="atLeast"/>
        <w:ind w:left="75" w:right="75"/>
        <w:jc w:val="center"/>
        <w:rPr>
          <w:rFonts w:ascii="Arial" w:hAnsi="Arial" w:eastAsia="Times New Roman" w:cs="Arial"/>
          <w:sz w:val="24"/>
          <w:szCs w:val="24"/>
        </w:rPr>
      </w:pPr>
      <w:r>
        <w:rPr>
          <w:rFonts w:ascii="Arial" w:hAnsi="Arial" w:eastAsia="Times New Roman" w:cs="Arial"/>
          <w:sz w:val="24"/>
          <w:szCs w:val="24"/>
        </w:rPr>
        <w:drawing>
          <wp:inline distT="0" distB="0" distL="0" distR="0">
            <wp:extent cx="5486400" cy="990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6400" cy="990600"/>
                    </a:xfrm>
                    <a:prstGeom prst="rect">
                      <a:avLst/>
                    </a:prstGeom>
                    <a:noFill/>
                    <a:ln>
                      <a:noFill/>
                    </a:ln>
                  </pic:spPr>
                </pic:pic>
              </a:graphicData>
            </a:graphic>
          </wp:inline>
        </w:drawing>
      </w:r>
    </w:p>
    <w:p>
      <w:pPr>
        <w:spacing w:after="0" w:line="420" w:lineRule="atLeast"/>
        <w:ind w:left="75" w:right="75"/>
        <w:jc w:val="center"/>
        <w:rPr>
          <w:rFonts w:ascii="Arial" w:hAnsi="Arial" w:eastAsia="Times New Roman" w:cs="Arial"/>
          <w:sz w:val="24"/>
          <w:szCs w:val="24"/>
        </w:rPr>
      </w:pPr>
    </w:p>
    <w:p>
      <w:pPr>
        <w:spacing w:after="0" w:line="240" w:lineRule="auto"/>
        <w:jc w:val="both"/>
        <w:rPr>
          <w:rFonts w:hint="eastAsia" w:ascii="Times New Roman" w:hAnsi="Times New Roman" w:eastAsia="宋体" w:cs="Times New Roman"/>
          <w:sz w:val="24"/>
          <w:szCs w:val="24"/>
          <w:lang w:eastAsia="zh-CN"/>
        </w:rPr>
      </w:pPr>
      <w:r>
        <w:rPr>
          <w:rFonts w:ascii="Times New Roman" w:hAnsi="Times New Roman" w:eastAsia="Times New Roman" w:cs="Times New Roman"/>
          <w:sz w:val="24"/>
          <w:szCs w:val="24"/>
        </w:rPr>
        <w:drawing>
          <wp:inline distT="0" distB="0" distL="0" distR="0">
            <wp:extent cx="790575" cy="9429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90575" cy="942975"/>
                    </a:xfrm>
                    <a:prstGeom prst="rect">
                      <a:avLst/>
                    </a:prstGeom>
                    <a:noFill/>
                    <a:ln>
                      <a:noFill/>
                    </a:ln>
                  </pic:spPr>
                </pic:pic>
              </a:graphicData>
            </a:graphic>
          </wp:inline>
        </w:drawing>
      </w:r>
      <w:r>
        <w:rPr>
          <w:rFonts w:ascii="Times New Roman" w:hAnsi="Times New Roman" w:eastAsia="Times New Roman" w:cs="Times New Roman"/>
          <w:sz w:val="24"/>
          <w:szCs w:val="24"/>
        </w:rPr>
        <w:drawing>
          <wp:inline distT="0" distB="0" distL="0" distR="0">
            <wp:extent cx="5486400" cy="3657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3657600"/>
                    </a:xfrm>
                    <a:prstGeom prst="rect">
                      <a:avLst/>
                    </a:prstGeom>
                    <a:noFill/>
                    <a:ln>
                      <a:noFill/>
                    </a:ln>
                  </pic:spPr>
                </pic:pic>
              </a:graphicData>
            </a:graphic>
          </wp:inline>
        </w:drawing>
      </w:r>
    </w:p>
    <w:p>
      <w:pPr>
        <w:spacing w:after="0" w:line="240" w:lineRule="auto"/>
        <w:jc w:val="both"/>
        <w:rPr>
          <w:rFonts w:hint="eastAsia" w:ascii="Times New Roman" w:hAnsi="Times New Roman" w:eastAsia="宋体" w:cs="Times New Roman"/>
          <w:sz w:val="24"/>
          <w:szCs w:val="24"/>
          <w:lang w:eastAsia="zh-CN"/>
        </w:rPr>
      </w:pPr>
    </w:p>
    <w:p>
      <w:pPr>
        <w:spacing w:after="0" w:line="240" w:lineRule="auto"/>
        <w:jc w:val="both"/>
        <w:rPr>
          <w:rFonts w:ascii="微软雅黑" w:hAnsi="微软雅黑" w:eastAsia="微软雅黑" w:cs="微软雅黑"/>
        </w:rPr>
      </w:pPr>
      <w:r>
        <w:rPr>
          <w:rStyle w:val="8"/>
          <w:rFonts w:hint="eastAsia" w:ascii="微软雅黑" w:hAnsi="微软雅黑" w:eastAsia="微软雅黑" w:cs="微软雅黑"/>
          <w:color w:val="3EB229"/>
          <w:sz w:val="32"/>
          <w:szCs w:val="32"/>
          <w:lang w:bidi="ar"/>
        </w:rPr>
        <w:t>关于Informa Markets</w:t>
      </w:r>
    </w:p>
    <w:p>
      <w:pPr>
        <w:pStyle w:val="4"/>
        <w:spacing w:before="0" w:beforeAutospacing="0" w:after="0" w:afterAutospacing="0" w:line="368" w:lineRule="atLeast"/>
        <w:jc w:val="both"/>
        <w:rPr>
          <w:rFonts w:ascii="微软雅黑" w:hAnsi="微软雅黑" w:eastAsia="微软雅黑" w:cs="微软雅黑"/>
        </w:rPr>
      </w:pPr>
      <w:r>
        <w:rPr>
          <w:rFonts w:hint="eastAsia" w:ascii="微软雅黑" w:hAnsi="微软雅黑" w:eastAsia="微软雅黑" w:cs="微软雅黑"/>
          <w:spacing w:val="10"/>
        </w:rPr>
        <w:t>Informa Markets是全球领先的展会主办方，主办超过550+个领先的B2B展会品牌，包括科技、营养与健康、生化及制药、生命科学、美容、建筑、交通运输、海事、食品及酒店、家具、农业、先进制造与工业、珠宝服饰、游艇、流行文化等15个核心领域。</w:t>
      </w:r>
    </w:p>
    <w:p>
      <w:pPr>
        <w:spacing w:after="0" w:line="420" w:lineRule="atLeast"/>
        <w:ind w:right="75"/>
        <w:jc w:val="both"/>
        <w:rPr>
          <w:rFonts w:ascii="Arial" w:hAnsi="Arial" w:eastAsia="Times New Roman" w:cs="Arial"/>
          <w:sz w:val="24"/>
          <w:szCs w:val="24"/>
        </w:rPr>
      </w:pPr>
    </w:p>
    <w:p>
      <w:pPr>
        <w:spacing w:after="0" w:line="240" w:lineRule="auto"/>
        <w:rPr>
          <w:rFonts w:hint="eastAsia" w:ascii="宋体" w:hAnsi="宋体" w:eastAsia="宋体" w:cs="宋体"/>
          <w:sz w:val="24"/>
          <w:szCs w:val="24"/>
          <w:lang w:eastAsia="zh-CN"/>
        </w:rPr>
      </w:pPr>
    </w:p>
    <w:p>
      <w:pPr>
        <w:spacing w:after="0" w:line="240" w:lineRule="auto"/>
        <w:rPr>
          <w:rFonts w:hint="eastAsia" w:ascii="宋体" w:hAnsi="宋体" w:eastAsia="宋体" w:cs="宋体"/>
          <w:sz w:val="24"/>
          <w:szCs w:val="24"/>
          <w:lang w:eastAsia="zh-CN"/>
        </w:rPr>
      </w:pPr>
    </w:p>
    <w:p>
      <w:pPr>
        <w:spacing w:after="0" w:line="240" w:lineRule="auto"/>
        <w:rPr>
          <w:rFonts w:ascii="Times New Roman" w:hAnsi="Times New Roman" w:eastAsia="Times New Roman" w:cs="Times New Roman"/>
          <w:sz w:val="24"/>
          <w:szCs w:val="24"/>
        </w:rPr>
      </w:pPr>
      <w:r>
        <w:rPr>
          <w:rFonts w:hint="eastAsia" w:ascii="宋体" w:hAnsi="宋体" w:eastAsia="宋体" w:cs="宋体"/>
          <w:sz w:val="24"/>
          <w:szCs w:val="24"/>
        </w:rPr>
        <w:t>官网</w:t>
      </w:r>
      <w:r>
        <w:rPr>
          <w:rFonts w:hint="eastAsia" w:ascii="Times New Roman" w:hAnsi="Times New Roman" w:eastAsia="Times New Roman" w:cs="Times New Roman"/>
          <w:sz w:val="24"/>
          <w:szCs w:val="24"/>
        </w:rPr>
        <w:t>Website:www.wocasia.cn</w:t>
      </w:r>
    </w:p>
    <w:p>
      <w:pPr>
        <w:spacing w:after="0" w:line="240" w:lineRule="auto"/>
        <w:rPr>
          <w:rFonts w:ascii="Times New Roman" w:hAnsi="Times New Roman" w:eastAsia="Times New Roman" w:cs="Times New Roman"/>
          <w:sz w:val="24"/>
          <w:szCs w:val="24"/>
        </w:rPr>
      </w:pPr>
      <w:r>
        <w:rPr>
          <w:rFonts w:hint="eastAsia" w:ascii="宋体" w:hAnsi="宋体" w:eastAsia="宋体" w:cs="宋体"/>
          <w:sz w:val="24"/>
          <w:szCs w:val="24"/>
        </w:rPr>
        <w:t>邮箱</w:t>
      </w:r>
      <w:r>
        <w:rPr>
          <w:rFonts w:hint="eastAsia" w:ascii="Times New Roman" w:hAnsi="Times New Roman" w:eastAsia="Times New Roman" w:cs="Times New Roman"/>
          <w:sz w:val="24"/>
          <w:szCs w:val="24"/>
        </w:rPr>
        <w:t>:info@wocasia.com</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r>
        <w:rPr>
          <w:rFonts w:hint="eastAsia" w:ascii="宋体" w:hAnsi="宋体" w:eastAsia="宋体" w:cs="宋体"/>
          <w:sz w:val="24"/>
          <w:szCs w:val="24"/>
        </w:rPr>
        <w:t>参展联系</w:t>
      </w: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Jessie Shen</w:t>
      </w:r>
    </w:p>
    <w:p>
      <w:pPr>
        <w:spacing w:after="0" w:line="240" w:lineRule="auto"/>
        <w:rPr>
          <w:rFonts w:ascii="Times New Roman" w:hAnsi="Times New Roman" w:eastAsia="Times New Roman" w:cs="Times New Roman"/>
          <w:sz w:val="24"/>
          <w:szCs w:val="24"/>
        </w:rPr>
      </w:pPr>
      <w:r>
        <w:rPr>
          <w:rFonts w:hint="eastAsia" w:ascii="宋体" w:hAnsi="宋体" w:eastAsia="宋体" w:cs="宋体"/>
          <w:sz w:val="24"/>
          <w:szCs w:val="24"/>
        </w:rPr>
        <w:t>电话：</w:t>
      </w:r>
      <w:r>
        <w:rPr>
          <w:rFonts w:hint="eastAsia" w:ascii="Times New Roman" w:hAnsi="Times New Roman" w:eastAsia="Times New Roman" w:cs="Times New Roman"/>
          <w:sz w:val="24"/>
          <w:szCs w:val="24"/>
        </w:rPr>
        <w:t>+86 21 6157 3939</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r>
        <w:rPr>
          <w:rFonts w:hint="eastAsia" w:ascii="宋体" w:hAnsi="宋体" w:eastAsia="宋体" w:cs="宋体"/>
          <w:sz w:val="24"/>
          <w:szCs w:val="24"/>
        </w:rPr>
        <w:t>媒体</w:t>
      </w:r>
      <w:r>
        <w:rPr>
          <w:rFonts w:hint="eastAsia" w:ascii="Times New Roman" w:hAnsi="Times New Roman" w:eastAsia="Times New Roman" w:cs="Times New Roman"/>
          <w:sz w:val="24"/>
          <w:szCs w:val="24"/>
        </w:rPr>
        <w:t>/</w:t>
      </w:r>
      <w:r>
        <w:rPr>
          <w:rFonts w:hint="eastAsia" w:ascii="宋体" w:hAnsi="宋体" w:eastAsia="宋体" w:cs="宋体"/>
          <w:sz w:val="24"/>
          <w:szCs w:val="24"/>
        </w:rPr>
        <w:t>观众联系</w:t>
      </w: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Ada Feng</w:t>
      </w:r>
      <w:bookmarkStart w:id="0" w:name="_GoBack"/>
      <w:bookmarkEnd w:id="0"/>
    </w:p>
    <w:p>
      <w:pPr>
        <w:spacing w:after="0" w:line="240" w:lineRule="auto"/>
        <w:rPr>
          <w:rFonts w:ascii="Times New Roman" w:hAnsi="Times New Roman" w:eastAsia="Times New Roman" w:cs="Times New Roman"/>
          <w:sz w:val="24"/>
          <w:szCs w:val="24"/>
        </w:rPr>
      </w:pPr>
      <w:r>
        <w:rPr>
          <w:rFonts w:hint="eastAsia" w:ascii="宋体" w:hAnsi="宋体" w:eastAsia="宋体" w:cs="宋体"/>
          <w:sz w:val="24"/>
          <w:szCs w:val="24"/>
        </w:rPr>
        <w:t>电话：</w:t>
      </w:r>
      <w:r>
        <w:rPr>
          <w:rFonts w:hint="eastAsia" w:ascii="Times New Roman" w:hAnsi="Times New Roman" w:eastAsia="Times New Roman" w:cs="Times New Roman"/>
          <w:sz w:val="24"/>
          <w:szCs w:val="24"/>
        </w:rPr>
        <w:t>+86 21 6157 7251</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r>
        <w:rPr>
          <w:rFonts w:hint="eastAsia" w:ascii="宋体" w:hAnsi="宋体" w:eastAsia="宋体" w:cs="宋体"/>
          <w:sz w:val="24"/>
          <w:szCs w:val="24"/>
        </w:rPr>
        <w:t>官方微信客服</w:t>
      </w:r>
      <w:r>
        <w:rPr>
          <w:rFonts w:hint="eastAsia" w:ascii="Times New Roman" w:hAnsi="Times New Roman" w:eastAsia="Times New Roman" w:cs="Times New Roman"/>
          <w:sz w:val="24"/>
          <w:szCs w:val="24"/>
        </w:rPr>
        <w:t>:WOCA-xiaotong</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sectPr>
      <w:footerReference r:id="rId5" w:type="default"/>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Rockwell">
    <w:altName w:val="Segoe Print"/>
    <w:panose1 w:val="02060603020205020403"/>
    <w:charset w:val="00"/>
    <w:family w:val="roman"/>
    <w:pitch w:val="default"/>
    <w:sig w:usb0="00000000" w:usb1="00000000" w:usb2="00000000" w:usb3="00000000" w:csb0="00000003"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9603740</wp:posOffset>
              </wp:positionV>
              <wp:extent cx="7772400" cy="263525"/>
              <wp:effectExtent l="0" t="0" r="0" b="3175"/>
              <wp:wrapNone/>
              <wp:docPr id="18" name="MSIPCM0b3e48f1afca2f93188ba9f9" descr="{&quot;HashCode&quot;:-134840300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3525"/>
                      </a:xfrm>
                      <a:prstGeom prst="rect">
                        <a:avLst/>
                      </a:prstGeom>
                      <a:noFill/>
                      <a:ln w="6350">
                        <a:noFill/>
                      </a:ln>
                    </wps:spPr>
                    <wps:txbx>
                      <w:txbxContent>
                        <w:p>
                          <w:pPr>
                            <w:spacing w:after="0"/>
                            <w:rPr>
                              <w:rFonts w:ascii="Rockwell" w:hAnsi="Rockwell"/>
                              <w:color w:val="0078D7"/>
                              <w:sz w:val="18"/>
                            </w:rPr>
                          </w:pPr>
                          <w:r>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 id="MSIPCM0b3e48f1afca2f93188ba9f9" o:spid="_x0000_s1026" o:spt="202" alt="{&quot;HashCode&quot;:-1348403003,&quot;Height&quot;:792.0,&quot;Width&quot;:612.0,&quot;Placement&quot;:&quot;Footer&quot;,&quot;Index&quot;:&quot;Primary&quot;,&quot;Section&quot;:1,&quot;Top&quot;:0.0,&quot;Left&quot;:0.0}" type="#_x0000_t202" style="position:absolute;left:0pt;margin-left:0pt;margin-top:756.2pt;height:20.75pt;width:612pt;mso-position-horizontal-relative:page;mso-position-vertical-relative:page;z-index:251659264;v-text-anchor:bottom;mso-width-relative:page;mso-height-relative:page;" filled="f" stroked="f" coordsize="21600,21600" o:allowincell="f" o:gfxdata="UEsDBAoAAAAAAIdO4kAAAAAAAAAAAAAAAAAEAAAAZHJzL1BLAwQUAAAACACHTuJAJJBJJdgAAAAL&#10;AQAADwAAAGRycy9kb3ducmV2LnhtbE2PwU7DMBBE70j8g7VI3KiT0CKaxqlQpSLBAZXQD3DjbZIS&#10;ryPbacvfsznBcd+MZmeK9dX24ow+dI4UpLMEBFLtTEeNgv3X9uEZRIiajO4doYIfDLAub28KnRt3&#10;oU88V7ERHEIh1wraGIdcylC3aHWYuQGJtaPzVkc+fSON1xcOt73MkuRJWt0Rf2j1gJsW6+9qtApe&#10;cEzDW789vXb7avd++ojebJZK3d+lyQpExGv8M8NUn6tDyZ0ObiQTRK+Ah0SmizSbg5j0LJszO0xs&#10;8bgEWRby/4byF1BLAwQUAAAACACHTuJAX3TF268CAABdBQAADgAAAGRycy9lMm9Eb2MueG1srVRL&#10;b9swDL4P2H8QdNhpjR9Jm8fqFFmKbAXSNUA69KzIUmzAFlVJaZwN+++jbCVdux162MWmSOoj+Ynk&#10;5VVTV+RJGFuCymjSiykRikNeqm1Gv98vzkaUWMdUzipQIqMHYenV9P27y72eiBQKqHJhCIIoO9nr&#10;jBbO6UkUWV6ImtkeaKHQKMHUzOHRbKPcsD2i11WUxvFFtAeTawNcWIva685IA6J5CyBIWXJxDXxX&#10;C+U6VCMq5rAkW5Ta0mmbrZSCuzsprXCkyihW6tovBkF547/R9JJNtobpouQhBfaWFF7VVLNSYdAT&#10;1DVzjOxM+RdUXXIDFqTrcaijrpCWEawiiV9xsy6YFm0tSLXVJ9Lt/4Pl355WhpQ5dgK+u2I1vvjt&#10;+mY1v403fTEYyYRJzlI57iej0YaN5ZiSXFiOFP788LgD9+krs8UcctGdJmdJfzAaxP047n8MDqLc&#10;Fi6Yh+O0FwfDQ5m7Iugvkmf9qmJc+JcNtu63AHDCdHIAuFG5aF44rUxZM3N44bXGJsDGCH5JuHsP&#10;OmjiU0JLIY8xUfnLN8de2wlytNbIkms+Q4NEHfUWlf7NG2lq/8fXJGjH1jqcWks0jnBUDofDdBCj&#10;iaMtveifp+ceJnq+rY11XwTUxAsZNZh121HsaWld53p08cEULMqqatu3UmSfUcSM2wsnC4JXCmP4&#10;GrpcveSaTRMK20B+wLoMdGNhNV+UGHzJrFsxg3OA+eKmcHf4kRVgEAgSJQWYH//Se39sT7RSsse5&#10;yqh93DEjKKluFDZueo40IK5rTyiYVhgngwEeNket2tVzwJlNcBlp3ore11VHURqoH3CTzHw4NDHF&#10;MWhGN0dx7roxx03ExWzWOuHMaeaWaq25h+54nO0cyLKl2PPTkRJow6lrHylsCD/Wf55br+etOP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JJBJJdgAAAALAQAADwAAAAAAAAABACAAAAAiAAAAZHJz&#10;L2Rvd25yZXYueG1sUEsBAhQAFAAAAAgAh07iQF90xduvAgAAXQUAAA4AAAAAAAAAAQAgAAAAJwEA&#10;AGRycy9lMm9Eb2MueG1sUEsFBgAAAAAGAAYAWQEAAEgGAAAAAA==&#10;">
              <v:fill on="f" focussize="0,0"/>
              <v:stroke on="f" weight="0.5pt"/>
              <v:imagedata o:title=""/>
              <o:lock v:ext="edit" aspectratio="f"/>
              <v:textbox inset="20pt,0mm,2.54mm,0mm">
                <w:txbxContent>
                  <w:p>
                    <w:pPr>
                      <w:spacing w:after="0"/>
                      <w:rPr>
                        <w:rFonts w:ascii="Rockwell" w:hAnsi="Rockwell"/>
                        <w:color w:val="0078D7"/>
                        <w:sz w:val="18"/>
                      </w:rPr>
                    </w:pPr>
                    <w:r>
                      <w:rPr>
                        <w:rFonts w:ascii="Rockwell" w:hAnsi="Rockwell"/>
                        <w:color w:val="0078D7"/>
                        <w:sz w:val="18"/>
                      </w:rPr>
                      <w:t>Information Classification: General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wMGRlYjM5YzNmMDU4ZDc2YjdlNzQ1YmJkZDhiNjIifQ=="/>
  </w:docVars>
  <w:rsids>
    <w:rsidRoot w:val="00A9545E"/>
    <w:rsid w:val="00125FD0"/>
    <w:rsid w:val="001E7563"/>
    <w:rsid w:val="002D12F3"/>
    <w:rsid w:val="008D466B"/>
    <w:rsid w:val="00A86B61"/>
    <w:rsid w:val="00A9545E"/>
    <w:rsid w:val="00AB2DB5"/>
    <w:rsid w:val="00B07F2A"/>
    <w:rsid w:val="00FF61BB"/>
    <w:rsid w:val="01600F70"/>
    <w:rsid w:val="56C200E1"/>
    <w:rsid w:val="5E9C30DB"/>
    <w:rsid w:val="5F205E1A"/>
    <w:rsid w:val="FFBD60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footer"/>
    <w:basedOn w:val="1"/>
    <w:link w:val="12"/>
    <w:unhideWhenUsed/>
    <w:qFormat/>
    <w:uiPriority w:val="99"/>
    <w:pPr>
      <w:tabs>
        <w:tab w:val="center" w:pos="4320"/>
        <w:tab w:val="right" w:pos="8640"/>
      </w:tabs>
      <w:spacing w:after="0" w:line="240" w:lineRule="auto"/>
    </w:pPr>
  </w:style>
  <w:style w:type="paragraph" w:styleId="3">
    <w:name w:val="header"/>
    <w:basedOn w:val="1"/>
    <w:link w:val="11"/>
    <w:unhideWhenUsed/>
    <w:qFormat/>
    <w:uiPriority w:val="99"/>
    <w:pPr>
      <w:tabs>
        <w:tab w:val="center" w:pos="4320"/>
        <w:tab w:val="right" w:pos="8640"/>
      </w:tabs>
      <w:spacing w:after="0" w:line="240" w:lineRule="auto"/>
    </w:pPr>
  </w:style>
  <w:style w:type="paragraph" w:styleId="4">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5">
    <w:name w:val="Title"/>
    <w:basedOn w:val="1"/>
    <w:next w:val="1"/>
    <w:link w:val="10"/>
    <w:qFormat/>
    <w:uiPriority w:val="10"/>
    <w:pPr>
      <w:spacing w:after="0" w:line="240" w:lineRule="auto"/>
      <w:contextualSpacing/>
    </w:pPr>
    <w:rPr>
      <w:rFonts w:asciiTheme="majorHAnsi" w:hAnsiTheme="majorHAnsi" w:eastAsiaTheme="majorEastAsia" w:cstheme="majorBidi"/>
      <w:spacing w:val="-10"/>
      <w:kern w:val="28"/>
      <w:sz w:val="56"/>
      <w:szCs w:val="56"/>
    </w:rPr>
  </w:style>
  <w:style w:type="character" w:styleId="8">
    <w:name w:val="Strong"/>
    <w:basedOn w:val="7"/>
    <w:qFormat/>
    <w:uiPriority w:val="22"/>
    <w:rPr>
      <w:b/>
      <w:bCs/>
    </w:rPr>
  </w:style>
  <w:style w:type="character" w:styleId="9">
    <w:name w:val="Emphasis"/>
    <w:basedOn w:val="7"/>
    <w:qFormat/>
    <w:uiPriority w:val="20"/>
    <w:rPr>
      <w:i/>
      <w:iCs/>
    </w:rPr>
  </w:style>
  <w:style w:type="character" w:customStyle="1" w:styleId="10">
    <w:name w:val="标题 字符"/>
    <w:basedOn w:val="7"/>
    <w:link w:val="5"/>
    <w:qFormat/>
    <w:uiPriority w:val="10"/>
    <w:rPr>
      <w:rFonts w:asciiTheme="majorHAnsi" w:hAnsiTheme="majorHAnsi" w:eastAsiaTheme="majorEastAsia" w:cstheme="majorBidi"/>
      <w:spacing w:val="-10"/>
      <w:kern w:val="28"/>
      <w:sz w:val="56"/>
      <w:szCs w:val="56"/>
    </w:rPr>
  </w:style>
  <w:style w:type="character" w:customStyle="1" w:styleId="11">
    <w:name w:val="页眉 字符"/>
    <w:basedOn w:val="7"/>
    <w:link w:val="3"/>
    <w:qFormat/>
    <w:uiPriority w:val="99"/>
  </w:style>
  <w:style w:type="character" w:customStyle="1" w:styleId="12">
    <w:name w:val="页脚 字符"/>
    <w:basedOn w:val="7"/>
    <w:link w:val="2"/>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1897</Words>
  <Characters>2149</Characters>
  <Lines>15</Lines>
  <Paragraphs>4</Paragraphs>
  <TotalTime>0</TotalTime>
  <ScaleCrop>false</ScaleCrop>
  <LinksUpToDate>false</LinksUpToDate>
  <CharactersWithSpaces>2199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2022-05-09T08:13:00Z</dcterms:created>
  <dc:creator>Feng, Ada</dc:creator>
  <cp:lastModifiedBy>金陈杰</cp:lastModifiedBy>
  <dcterms:modified xsi:type="dcterms:W3CDTF">2022-12-06T06:41:54Z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MSIP_Label_2bbab825-a111-45e4-86a1-18cee0005896_Enabled">
    <vt:lpwstr>true</vt:lpwstr>
  </property>
  <property fmtid="{D5CDD505-2E9C-101B-9397-08002B2CF9AE}" pid="4" name="MSIP_Label_2bbab825-a111-45e4-86a1-18cee0005896_SetDate">
    <vt:lpwstr>2022-05-09T08:14:19Z</vt:lpwstr>
  </property>
  <property fmtid="{D5CDD505-2E9C-101B-9397-08002B2CF9AE}" pid="5" name="MSIP_Label_2bbab825-a111-45e4-86a1-18cee0005896_Method">
    <vt:lpwstr>Standard</vt:lpwstr>
  </property>
  <property fmtid="{D5CDD505-2E9C-101B-9397-08002B2CF9AE}" pid="6" name="MSIP_Label_2bbab825-a111-45e4-86a1-18cee0005896_Name">
    <vt:lpwstr>2bbab825-a111-45e4-86a1-18cee0005896</vt:lpwstr>
  </property>
  <property fmtid="{D5CDD505-2E9C-101B-9397-08002B2CF9AE}" pid="7" name="MSIP_Label_2bbab825-a111-45e4-86a1-18cee0005896_SiteId">
    <vt:lpwstr>2567d566-604c-408a-8a60-55d0dc9d9d6b</vt:lpwstr>
  </property>
  <property fmtid="{D5CDD505-2E9C-101B-9397-08002B2CF9AE}" pid="8" name="MSIP_Label_2bbab825-a111-45e4-86a1-18cee0005896_ActionId">
    <vt:lpwstr>143f083c-690b-44d2-bec6-363242daa761</vt:lpwstr>
  </property>
  <property fmtid="{D5CDD505-2E9C-101B-9397-08002B2CF9AE}" pid="9" name="MSIP_Label_2bbab825-a111-45e4-86a1-18cee0005896_ContentBits">
    <vt:lpwstr>2</vt:lpwstr>
  </property>
  <property fmtid="{D5CDD505-2E9C-101B-9397-08002B2CF9AE}" pid="10" name="ICV">
    <vt:lpwstr>6DC53FB4B76F4D1F89B6FF9B9142ACFF</vt:lpwstr>
  </property>
</Properties>
</file>