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eastAsiaTheme="minorEastAsia"/>
          <w:color w:val="000000"/>
          <w:spacing w:val="105"/>
          <w:sz w:val="25"/>
          <w:szCs w:val="25"/>
          <w:bdr w:val="none" w:color="auto" w:sz="0" w:space="0"/>
          <w:lang w:eastAsia="zh-CN"/>
        </w:rPr>
      </w:pPr>
      <w:r>
        <w:rPr>
          <w:rStyle w:val="5"/>
          <w:rFonts w:hint="eastAsia" w:eastAsiaTheme="minorEastAsia"/>
          <w:color w:val="000000"/>
          <w:spacing w:val="105"/>
          <w:sz w:val="25"/>
          <w:szCs w:val="25"/>
          <w:bdr w:val="none" w:color="auto" w:sz="0" w:space="0"/>
          <w:lang w:eastAsia="zh-CN"/>
        </w:rPr>
        <w:drawing>
          <wp:inline distT="0" distB="0" distL="114300" distR="114300">
            <wp:extent cx="5427345" cy="7675245"/>
            <wp:effectExtent l="0" t="0" r="1905" b="1905"/>
            <wp:docPr id="19" name="图片 19" descr="中国(重庆)国际地下空间展览会邀请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国(重庆)国际地下空间展览会邀请函_00"/>
                    <pic:cNvPicPr>
                      <a:picLocks noChangeAspect="1"/>
                    </pic:cNvPicPr>
                  </pic:nvPicPr>
                  <pic:blipFill>
                    <a:blip r:embed="rId4"/>
                    <a:stretch>
                      <a:fillRect/>
                    </a:stretch>
                  </pic:blipFill>
                  <pic:spPr>
                    <a:xfrm>
                      <a:off x="0" y="0"/>
                      <a:ext cx="5427345" cy="767524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color w:val="000000"/>
          <w:spacing w:val="105"/>
          <w:sz w:val="25"/>
          <w:szCs w:val="25"/>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color w:val="000000"/>
          <w:spacing w:val="105"/>
          <w:sz w:val="25"/>
          <w:szCs w:val="25"/>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color w:val="000000"/>
          <w:spacing w:val="105"/>
          <w:sz w:val="25"/>
          <w:szCs w:val="25"/>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color w:val="000000"/>
          <w:spacing w:val="105"/>
          <w:sz w:val="25"/>
          <w:szCs w:val="25"/>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color w:val="000000"/>
          <w:spacing w:val="105"/>
          <w:sz w:val="25"/>
          <w:szCs w:val="25"/>
          <w:bdr w:val="none" w:color="auto" w:sz="0" w:space="0"/>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b/>
          <w:bCs/>
          <w:sz w:val="28"/>
          <w:szCs w:val="28"/>
        </w:rPr>
      </w:pPr>
      <w:r>
        <w:rPr>
          <w:rStyle w:val="5"/>
          <w:color w:val="000000"/>
          <w:spacing w:val="105"/>
          <w:sz w:val="28"/>
          <w:szCs w:val="28"/>
          <w:bdr w:val="none" w:color="auto" w:sz="0" w:space="0"/>
        </w:rPr>
        <w:t>展会信息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sz w:val="19"/>
          <w:szCs w:val="19"/>
        </w:rPr>
      </w:pPr>
      <w:r>
        <w:rPr>
          <w:rStyle w:val="5"/>
          <w:color w:val="000000"/>
          <w:sz w:val="25"/>
          <w:szCs w:val="25"/>
          <w:bdr w:val="none" w:color="auto" w:sz="0" w:space="0"/>
        </w:rPr>
        <w:t>中国（重庆）国际地下空间展览会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8" w:lineRule="atLeast"/>
        <w:ind w:left="0" w:right="0" w:firstLine="0"/>
        <w:jc w:val="both"/>
        <w:rPr>
          <w:rFonts w:ascii="微软雅黑" w:hAnsi="微软雅黑" w:eastAsia="微软雅黑" w:cs="微软雅黑"/>
          <w:i w:val="0"/>
          <w:iCs w:val="0"/>
          <w:caps w:val="0"/>
          <w:color w:val="000000"/>
          <w:spacing w:val="8"/>
          <w:sz w:val="24"/>
          <w:szCs w:val="24"/>
          <w:shd w:val="clear" w:fill="FFFFFF"/>
        </w:rPr>
      </w:pPr>
      <w:r>
        <w:rPr>
          <w:rFonts w:ascii="微软雅黑" w:hAnsi="微软雅黑" w:eastAsia="微软雅黑" w:cs="微软雅黑"/>
          <w:i w:val="0"/>
          <w:iCs w:val="0"/>
          <w:caps w:val="0"/>
          <w:color w:val="000000"/>
          <w:spacing w:val="8"/>
          <w:sz w:val="24"/>
          <w:szCs w:val="24"/>
          <w:shd w:val="clear" w:fill="FFFFFF"/>
        </w:rPr>
        <w:t>展会时间：2023年3月29-31日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50" w:afterAutospacing="0" w:line="368" w:lineRule="atLeast"/>
        <w:ind w:left="0" w:right="0" w:firstLine="0"/>
        <w:jc w:val="both"/>
        <w:rPr>
          <w:rFonts w:ascii="微软雅黑" w:hAnsi="微软雅黑" w:eastAsia="微软雅黑" w:cs="微软雅黑"/>
          <w:i w:val="0"/>
          <w:iCs w:val="0"/>
          <w:caps w:val="0"/>
          <w:color w:val="000000"/>
          <w:spacing w:val="8"/>
          <w:sz w:val="24"/>
          <w:szCs w:val="24"/>
          <w:shd w:val="clear" w:fill="FFFFFF"/>
        </w:rPr>
      </w:pPr>
      <w:r>
        <w:rPr>
          <w:rFonts w:ascii="微软雅黑" w:hAnsi="微软雅黑" w:eastAsia="微软雅黑" w:cs="微软雅黑"/>
          <w:i w:val="0"/>
          <w:iCs w:val="0"/>
          <w:caps w:val="0"/>
          <w:color w:val="000000"/>
          <w:spacing w:val="8"/>
          <w:sz w:val="24"/>
          <w:szCs w:val="24"/>
          <w:shd w:val="clear" w:fill="FFFFFF"/>
        </w:rPr>
        <w:t>展会地点：重庆国际博览中心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5"/>
          <w:rFonts w:ascii="Times New Roman" w:hAnsi="Times New Roman" w:eastAsia="宋体" w:cs="Times New Roman"/>
          <w:color w:val="000000"/>
          <w:spacing w:val="105"/>
          <w:sz w:val="28"/>
          <w:szCs w:val="28"/>
        </w:rPr>
      </w:pPr>
      <w:r>
        <w:rPr>
          <w:spacing w:val="8"/>
          <w:bdr w:val="none" w:color="auto" w:sz="0" w:space="0"/>
        </w:rPr>
        <w:drawing>
          <wp:inline distT="0" distB="0" distL="114300" distR="114300">
            <wp:extent cx="5440680" cy="2004695"/>
            <wp:effectExtent l="0" t="0" r="7620" b="1460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5"/>
                    <a:stretch>
                      <a:fillRect/>
                    </a:stretch>
                  </pic:blipFill>
                  <pic:spPr>
                    <a:xfrm>
                      <a:off x="0" y="0"/>
                      <a:ext cx="5440680" cy="200469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ascii="微软雅黑" w:hAnsi="微软雅黑" w:eastAsia="微软雅黑" w:cs="微软雅黑"/>
          <w:i w:val="0"/>
          <w:iCs w:val="0"/>
          <w:caps w:val="0"/>
          <w:color w:val="000000"/>
          <w:spacing w:val="8"/>
          <w:sz w:val="24"/>
          <w:szCs w:val="24"/>
          <w:shd w:val="clear" w:fill="FFFFFF"/>
        </w:rPr>
      </w:pPr>
      <w:r>
        <w:rPr>
          <w:rFonts w:ascii="微软雅黑" w:hAnsi="微软雅黑" w:eastAsia="微软雅黑" w:cs="微软雅黑"/>
          <w:i w:val="0"/>
          <w:iCs w:val="0"/>
          <w:caps w:val="0"/>
          <w:color w:val="000000"/>
          <w:spacing w:val="8"/>
          <w:sz w:val="24"/>
          <w:szCs w:val="24"/>
          <w:shd w:val="clear" w:fill="FFFFFF"/>
          <w:lang w:val="en-US" w:eastAsia="zh-CN"/>
        </w:rPr>
        <w:t xml:space="preserve">随着全球城市化进程的不断发展，城市化带来的问题受到越来越多的 </w:t>
      </w:r>
      <w:r>
        <w:rPr>
          <w:rFonts w:hint="eastAsia" w:ascii="微软雅黑" w:hAnsi="微软雅黑" w:eastAsia="微软雅黑" w:cs="微软雅黑"/>
          <w:i w:val="0"/>
          <w:iCs w:val="0"/>
          <w:caps w:val="0"/>
          <w:color w:val="000000"/>
          <w:spacing w:val="8"/>
          <w:sz w:val="24"/>
          <w:szCs w:val="24"/>
          <w:shd w:val="clear" w:fill="FFFFFF"/>
          <w:lang w:val="en-US" w:eastAsia="zh-CN"/>
        </w:rPr>
        <w:t xml:space="preserve">关注，习近平主席在联合国大会上提出了“二氧化碳排放力争于2030年前达到峰值，争取在2060年前实现碳中和”，绿色、安全、可持续的城市发展成为21世纪全球社会面临的最紧迫挑战。2020年，住建部发表了《关于加强城市地下市政基础设施建设的指导意见》，意见表示城市地下市政基础设施建设是城市安全有序运行的重要基础，是城市高质量发展的重要内容。城市地下市政基础设施建设总体平稳，基本满足城市快速发展需要，但城市地下空间建设等市政基础设施仍存在许多关键问题。由此，科学合理高效利用城市地下空间，成为缓解人地紧张矛盾、提高城市空间资源利用效率、提升城市综合承载能力、促进土地节约集约利用的重要手段，城市地下空间高质量开发利用对谋求城市进一步发展意义重大。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为绿色安全高效利用城市地下空间，加强城市地下空间开发新模式和新技术的理论研究与实践，实现中国西部地区地下空间的发展布局。中国（重庆）国际地下空间展览会将于2023年3月29-31日在重庆国际博览中心举办。围绕城市地下空间建设和管理的新技术、新工艺、新设备、新材料，集中展示城市地下空间规划建设成果、施工和检测的先进设备、绿色环保材料与工艺宣传、综合管廊与管线、地下空间探测技术与装备等。同期将召开以中国国际地下空间开发利用为主题的多场会议与高峰论坛。届时，将会地下空间各领域相关企事业单位参与，通过探讨行企企事业业热点话题，了解最新案例及一体化解决方案，致力于打造集技术交流、产品展示、品牌推广、聚拢人脉为一的综合交流平台。 </w:t>
      </w:r>
    </w:p>
    <w:p>
      <w:pPr>
        <w:keepNext w:val="0"/>
        <w:keepLines w:val="0"/>
        <w:widowControl/>
        <w:suppressLineNumbers w:val="0"/>
        <w:jc w:val="left"/>
        <w:rPr>
          <w:rStyle w:val="5"/>
          <w:rFonts w:hint="eastAsia" w:ascii="Times New Roman" w:hAnsi="Times New Roman" w:eastAsia="宋体" w:cs="Times New Roman"/>
          <w:color w:val="000000"/>
          <w:spacing w:val="105"/>
          <w:kern w:val="0"/>
          <w:sz w:val="28"/>
          <w:szCs w:val="28"/>
          <w:lang w:val="en-US" w:eastAsia="zh-CN" w:bidi="ar"/>
        </w:rPr>
      </w:pPr>
      <w:r>
        <w:rPr>
          <w:rStyle w:val="5"/>
          <w:rFonts w:hint="eastAsia" w:ascii="Times New Roman" w:hAnsi="Times New Roman" w:eastAsia="宋体" w:cs="Times New Roman"/>
          <w:color w:val="000000"/>
          <w:spacing w:val="105"/>
          <w:kern w:val="0"/>
          <w:sz w:val="28"/>
          <w:szCs w:val="28"/>
          <w:lang w:val="en-US" w:eastAsia="zh-CN" w:bidi="ar"/>
        </w:rPr>
        <w:t xml:space="preserve">组织机构：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（一）指导单位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重庆市住房和城乡建设委员会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中国煤炭地质总局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（二）主办单位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中国测绘学会地下管线专业委员会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重庆市城市管线综合管理事务中心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重庆大学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（三）承办单位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重庆市地下管线协会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中国国际地下空间展览会组委会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重庆大学产业技术研究院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（四）执行承办单位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中泽国际会展（北京）有限公司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（五）协办单位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四川省市政市容协会地下管线专业委员会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中煤地下空间科技发展有限公司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中国测绘学会地下管网工作委员会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国际管线专业学会（FIIUS）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香港管线专业学会（HKIUS）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中国地球物理学会智慧管网专业委员会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中国汽车工程学会专用车分会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中国疏浚协会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上海市地下管线协会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北京非开挖行业协会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中冶一局地下空间研究院有限公司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天津市市政工程设计研究院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北京市市政工程研究院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中冶赛迪工程技术股份有限公司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重庆燃气集团股份有限公司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重庆水务集团股份有限公司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重庆市水利投资（集团）有限公司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重庆市市政设计研究院有限公司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国网重庆市电力公司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中国联合网络通信有限公司重庆市分公司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中国广电重庆网络股份有限公司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中国电信股份有限公司重庆分公司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中国移动通信集团重庆有限公司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中国铁塔股份有限公司重庆市分公司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重庆市地产集团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重庆市城镇排水事务中心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重庆凯源石油天然气有限责任公司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卓航控股集团有限公司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right="0"/>
        <w:jc w:val="both"/>
        <w:textAlignment w:val="auto"/>
        <w:rPr>
          <w:rStyle w:val="5"/>
          <w:rFonts w:hint="eastAsia" w:ascii="Times New Roman" w:hAnsi="Times New Roman" w:eastAsia="宋体" w:cs="Times New Roman"/>
          <w:color w:val="000000"/>
          <w:spacing w:val="105"/>
          <w:kern w:val="0"/>
          <w:sz w:val="28"/>
          <w:szCs w:val="28"/>
          <w:lang w:val="en-US" w:eastAsia="zh-CN" w:bidi="ar"/>
        </w:rPr>
      </w:pPr>
      <w:r>
        <w:rPr>
          <w:rStyle w:val="5"/>
          <w:rFonts w:hint="eastAsia" w:ascii="Times New Roman" w:hAnsi="Times New Roman" w:eastAsia="宋体" w:cs="Times New Roman"/>
          <w:color w:val="000000"/>
          <w:spacing w:val="105"/>
          <w:kern w:val="0"/>
          <w:sz w:val="28"/>
          <w:szCs w:val="28"/>
          <w:lang w:val="en-US" w:eastAsia="zh-CN" w:bidi="ar"/>
        </w:rPr>
        <w:t xml:space="preserve">参展范围：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（一）地下工程施工机械设备及配套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隧道掘进机械；凿岩钻爆机械；地质勘探机械；地下采矿机械；混凝土输送机械；小型挖掘机械；桩基础施工机械；地下装运设备；井下提升设备；锚喷支护设备；隧道衬砌系统；泥水处理设备；地下通风设备；空压设备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（二）地下非开挖施工及勘探技术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盾构机、水平定向钻机、导向仪及其附属设备、卷扬机气动隧洞全断面掘进机、道路掘进机械、凿岩钻分裂爆机械、地质勘探机械等；顶管机及其附属设备；钻孔测井、推进机械、钻杆、各类非开挖管材焊接机、吊运机等附属设备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（三）测绘测量设备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全站仪、经纬仪、水准仪、无人机、无人船、航测相机、激光雷达、移动测量车、测量机器人、卫星定位接收机、激光三维扫描仪、测距仪、垂准仪、激光指向仪、绘图仪、扫平仪、测亩仪、北斗终端、北斗板卡、北斗模块、GNSS 产品、卫星电话、应急通讯、建筑工程检测仪器、无损检测等设备。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（四）地下管网相关材料、设备及技术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1.管线探测和测绘技术、仪器设备以及地理信息相关产品：管道巡检机器人及相关设备；智慧城市技术产品； 物联网、智能井盖及系统集成；管道、管线探测与检测技术、设备；地理信息、GIS 系统、BIM 等：3S 基础软件平台，综合管廊信息管理软件和硬件等，智慧水务，物联网相关设备等；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2.管网维护及修复技术及产品，非开挖管道修复材料及设备：非开挖翻转内衬修复技术设备、紫外光固化修复技术设备、管道清淤设备、管道内衬材料等。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3.市政应急抢险车辆及设备：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联合疏通车、抢险排污车、清淤车等相关技术设备：管道疏通设备、移动式泵站/车、潜水电泵；市政防汛无损开挖应急车辆；管道应急抢修、不停输封堵等技术设备。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4.地下空间、道路空洞监测、病害检测等相关设备及产品：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探地雷达、地震仪、数据处理系统、道路病害及道路塌陷预警等相关设备、技术及产品。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（五）地下综合管廊与管线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地下管廊专用管材管道及制造设备；地下综合管廊信息管理系统、软件；智慧城市（智能电网、智能燃气、智慧水务）；智能井盖及配套产品；城市管网信息化管理；数字地下管网监控仪器等；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（六）信息智慧化系统与相关设备配件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地下空间智能系统研发、智能传感器、电动执行器、相关计量仪表设备类 、管网漏损检测、节水技术、BIM、CIM技术等；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 xml:space="preserve">（七）地下空间安防设备与材料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防火防爆产品；地下抢险设备；人员逃生设备；控制系统以及软件；应急照明设备；通讯设备；地下监控设备；反恐防恐；出入口控制（门禁）；防盗报警；火灾报警及联动控制；实体防护；电子巡查；人脸识别；一卡通系统；安防线缆；安防配件；机柜；周界安防以及电子围栏；动力设备及发电机组；地下供电设备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5"/>
          <w:rFonts w:ascii="Times New Roman" w:hAnsi="Times New Roman" w:eastAsia="宋体" w:cs="Times New Roman"/>
          <w:color w:val="000000"/>
          <w:spacing w:val="105"/>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5"/>
          <w:rFonts w:ascii="Times New Roman" w:hAnsi="Times New Roman" w:eastAsia="宋体" w:cs="Times New Roman"/>
          <w:color w:val="000000"/>
          <w:spacing w:val="105"/>
          <w:sz w:val="28"/>
          <w:szCs w:val="28"/>
        </w:rPr>
        <w:t>展示区域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八大展示区域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1、地下工程施工机械设备及配套展区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2、地下非开挖施工及勘探技术展区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3、测绘测量设备展区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4、地下管网相关材料、设备及技术展区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5、地下综合管廊与管线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6、信息智慧化系统与相关设备配件展区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7、地下空间安防设备与材料展区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8、地下空间规划设计及建设成果展区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5"/>
          <w:rFonts w:ascii="Times New Roman" w:hAnsi="Times New Roman" w:eastAsia="宋体" w:cs="Times New Roman"/>
          <w:color w:val="000000"/>
          <w:spacing w:val="105"/>
          <w:sz w:val="28"/>
          <w:szCs w:val="28"/>
        </w:rPr>
      </w:pPr>
      <w:r>
        <w:rPr>
          <w:rStyle w:val="5"/>
          <w:rFonts w:hint="eastAsia" w:ascii="Times New Roman" w:hAnsi="Times New Roman" w:eastAsia="宋体" w:cs="Times New Roman"/>
          <w:color w:val="000000"/>
          <w:spacing w:val="105"/>
          <w:sz w:val="28"/>
          <w:szCs w:val="28"/>
        </w:rPr>
        <w:t>同期论坛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主论坛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中国国际地下空间高峰论坛</w:t>
      </w:r>
    </w:p>
    <w:p>
      <w:pPr>
        <w:pStyle w:val="2"/>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735" w:leftChars="228" w:right="0" w:hanging="256" w:hangingChars="1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分论坛    </w:t>
      </w:r>
    </w:p>
    <w:p>
      <w:pPr>
        <w:pStyle w:val="2"/>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Chars="128" w:right="0" w:rightChars="0" w:firstLine="256" w:firstLineChars="1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bookmarkStart w:id="0" w:name="_GoBack"/>
      <w:bookmarkEnd w:id="0"/>
      <w:r>
        <w:rPr>
          <w:rFonts w:hint="eastAsia" w:ascii="微软雅黑" w:hAnsi="微软雅黑" w:eastAsia="微软雅黑" w:cs="微软雅黑"/>
          <w:i w:val="0"/>
          <w:iCs w:val="0"/>
          <w:caps w:val="0"/>
          <w:color w:val="000000"/>
          <w:spacing w:val="8"/>
          <w:sz w:val="24"/>
          <w:szCs w:val="24"/>
          <w:shd w:val="clear" w:fill="FFFFFF"/>
          <w:lang w:val="en-US" w:eastAsia="zh-CN"/>
        </w:rPr>
        <w:t>1. 地下空间管网非开挖建设与修复技术论坛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2. 山地城市地下空问开发与利用论坛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3. 综合管廊建设及安全运行研讨会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hint="eastAsia" w:ascii="微软雅黑" w:hAnsi="微软雅黑" w:eastAsia="微软雅黑" w:cs="微软雅黑"/>
          <w:i w:val="0"/>
          <w:iCs w:val="0"/>
          <w:caps w:val="0"/>
          <w:color w:val="000000"/>
          <w:spacing w:val="8"/>
          <w:sz w:val="24"/>
          <w:szCs w:val="24"/>
          <w:shd w:val="clear" w:fill="FFFFFF"/>
          <w:lang w:val="en-US" w:eastAsia="zh-CN"/>
        </w:rPr>
      </w:pPr>
      <w:r>
        <w:rPr>
          <w:rFonts w:hint="eastAsia" w:ascii="微软雅黑" w:hAnsi="微软雅黑" w:eastAsia="微软雅黑" w:cs="微软雅黑"/>
          <w:i w:val="0"/>
          <w:iCs w:val="0"/>
          <w:caps w:val="0"/>
          <w:color w:val="000000"/>
          <w:spacing w:val="8"/>
          <w:sz w:val="24"/>
          <w:szCs w:val="24"/>
          <w:shd w:val="clear" w:fill="FFFFFF"/>
          <w:lang w:val="en-US" w:eastAsia="zh-CN"/>
        </w:rPr>
        <w:t>4. 燃气安全应急与智慧化论坛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50" w:afterAutospacing="0" w:line="368" w:lineRule="atLeast"/>
        <w:ind w:left="0" w:right="0" w:firstLine="512" w:firstLineChars="200"/>
        <w:jc w:val="both"/>
        <w:textAlignment w:val="auto"/>
        <w:rPr>
          <w:rFonts w:ascii="宋体" w:hAnsi="宋体" w:eastAsia="宋体" w:cs="宋体"/>
          <w:kern w:val="0"/>
          <w:sz w:val="24"/>
          <w:szCs w:val="24"/>
          <w:bdr w:val="none" w:color="auto" w:sz="0" w:space="0"/>
          <w:lang w:val="en-US" w:eastAsia="zh-CN" w:bidi="ar"/>
        </w:rPr>
      </w:pPr>
      <w:r>
        <w:rPr>
          <w:rFonts w:hint="eastAsia" w:ascii="微软雅黑" w:hAnsi="微软雅黑" w:eastAsia="微软雅黑" w:cs="微软雅黑"/>
          <w:i w:val="0"/>
          <w:iCs w:val="0"/>
          <w:caps w:val="0"/>
          <w:color w:val="000000"/>
          <w:spacing w:val="8"/>
          <w:sz w:val="24"/>
          <w:szCs w:val="24"/>
          <w:shd w:val="clear" w:fill="FFFFFF"/>
          <w:lang w:val="en-US" w:eastAsia="zh-CN"/>
        </w:rPr>
        <w:t>5.CIM 基础平合赋能地下空问应用发展论坛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ascii="微软雅黑" w:hAnsi="微软雅黑" w:eastAsia="微软雅黑" w:cs="微软雅黑"/>
          <w:i w:val="0"/>
          <w:iCs w:val="0"/>
          <w:caps w:val="0"/>
          <w:color w:val="000000"/>
          <w:spacing w:val="0"/>
          <w:sz w:val="24"/>
          <w:szCs w:val="24"/>
        </w:rPr>
      </w:pPr>
      <w:r>
        <w:rPr>
          <w:rStyle w:val="5"/>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参与形式：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1. 参与展览展示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展位费用</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2775"/>
        <w:gridCol w:w="2475"/>
        <w:gridCol w:w="28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7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展位类型</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标准</w:t>
            </w:r>
          </w:p>
        </w:tc>
        <w:tc>
          <w:tcPr>
            <w:tcW w:w="285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价格</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7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光地展位</w:t>
            </w:r>
          </w:p>
        </w:tc>
        <w:tc>
          <w:tcPr>
            <w:tcW w:w="531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1000元/㎡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775" w:type="dxa"/>
            <w:vMerge w:val="restart"/>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标准展位</w:t>
            </w:r>
          </w:p>
        </w:tc>
        <w:tc>
          <w:tcPr>
            <w:tcW w:w="24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C类升级展位</w:t>
            </w:r>
          </w:p>
        </w:tc>
        <w:tc>
          <w:tcPr>
            <w:tcW w:w="285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27600元/24㎡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77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iCs w:val="0"/>
                <w:caps w:val="0"/>
                <w:color w:val="000000"/>
                <w:spacing w:val="0"/>
                <w:sz w:val="24"/>
                <w:szCs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旗舰展位</w:t>
            </w:r>
          </w:p>
        </w:tc>
        <w:tc>
          <w:tcPr>
            <w:tcW w:w="285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13800元/9㎡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775" w:type="dxa"/>
            <w:vMerge w:val="continue"/>
            <w:tcBorders>
              <w:top w:val="outset" w:color="auto" w:sz="6" w:space="0"/>
              <w:left w:val="outset" w:color="auto" w:sz="6" w:space="0"/>
              <w:bottom w:val="outset" w:color="auto" w:sz="6" w:space="0"/>
              <w:right w:val="outset" w:color="auto" w:sz="6" w:space="0"/>
            </w:tcBorders>
            <w:shd w:val="clear" w:color="auto" w:fill="FFFFFF"/>
            <w:vAlign w:val="center"/>
          </w:tcPr>
          <w:p>
            <w:pPr>
              <w:rPr>
                <w:rFonts w:hint="eastAsia" w:ascii="微软雅黑" w:hAnsi="微软雅黑" w:eastAsia="微软雅黑" w:cs="微软雅黑"/>
                <w:i w:val="0"/>
                <w:iCs w:val="0"/>
                <w:caps w:val="0"/>
                <w:color w:val="000000"/>
                <w:spacing w:val="0"/>
                <w:sz w:val="24"/>
                <w:szCs w:val="24"/>
              </w:rPr>
            </w:pPr>
          </w:p>
        </w:tc>
        <w:tc>
          <w:tcPr>
            <w:tcW w:w="24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标准展位</w:t>
            </w:r>
          </w:p>
        </w:tc>
        <w:tc>
          <w:tcPr>
            <w:tcW w:w="285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12800元/12㎡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5250" w:type="dxa"/>
            <w:gridSpan w:val="2"/>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室外活动演示</w:t>
            </w:r>
          </w:p>
        </w:tc>
        <w:tc>
          <w:tcPr>
            <w:tcW w:w="285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16800元/小时</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2. 新品发布会：10000元/场次；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3. 技术交流会：10000元/场次</w:t>
      </w:r>
    </w:p>
    <w:tbl>
      <w:tblPr>
        <w:tblW w:w="0" w:type="auto"/>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autofit"/>
        <w:tblCellMar>
          <w:top w:w="15" w:type="dxa"/>
          <w:left w:w="15" w:type="dxa"/>
          <w:bottom w:w="15" w:type="dxa"/>
          <w:right w:w="15" w:type="dxa"/>
        </w:tblCellMar>
      </w:tblPr>
      <w:tblGrid>
        <w:gridCol w:w="2160"/>
        <w:gridCol w:w="1575"/>
        <w:gridCol w:w="1725"/>
        <w:gridCol w:w="177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1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会刊</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价格（元）</w:t>
            </w:r>
          </w:p>
        </w:tc>
        <w:tc>
          <w:tcPr>
            <w:tcW w:w="172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会刊</w:t>
            </w:r>
          </w:p>
        </w:tc>
        <w:tc>
          <w:tcPr>
            <w:tcW w:w="17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价格（元）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1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封面</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80000</w:t>
            </w:r>
          </w:p>
        </w:tc>
        <w:tc>
          <w:tcPr>
            <w:tcW w:w="172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封底内页</w:t>
            </w:r>
          </w:p>
        </w:tc>
        <w:tc>
          <w:tcPr>
            <w:tcW w:w="17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20000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1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封面（内拉页）</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50000</w:t>
            </w:r>
          </w:p>
        </w:tc>
        <w:tc>
          <w:tcPr>
            <w:tcW w:w="172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封三</w:t>
            </w:r>
          </w:p>
        </w:tc>
        <w:tc>
          <w:tcPr>
            <w:tcW w:w="17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30000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1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封底拉页</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50000</w:t>
            </w:r>
          </w:p>
        </w:tc>
        <w:tc>
          <w:tcPr>
            <w:tcW w:w="172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扉页(正面）</w:t>
            </w:r>
          </w:p>
        </w:tc>
        <w:tc>
          <w:tcPr>
            <w:tcW w:w="17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20000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15" w:type="dxa"/>
            <w:left w:w="15" w:type="dxa"/>
            <w:bottom w:w="15" w:type="dxa"/>
            <w:right w:w="15" w:type="dxa"/>
          </w:tblCellMar>
        </w:tblPrEx>
        <w:trPr>
          <w:jc w:val="center"/>
        </w:trPr>
        <w:tc>
          <w:tcPr>
            <w:tcW w:w="216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封二</w:t>
            </w:r>
          </w:p>
        </w:tc>
        <w:tc>
          <w:tcPr>
            <w:tcW w:w="157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30000</w:t>
            </w:r>
          </w:p>
        </w:tc>
        <w:tc>
          <w:tcPr>
            <w:tcW w:w="1725"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内页</w:t>
            </w:r>
          </w:p>
        </w:tc>
        <w:tc>
          <w:tcPr>
            <w:tcW w:w="1770" w:type="dxa"/>
            <w:tcBorders>
              <w:top w:val="outset" w:color="auto" w:sz="6" w:space="0"/>
              <w:left w:val="outset" w:color="auto" w:sz="6" w:space="0"/>
              <w:bottom w:val="outset" w:color="auto" w:sz="6" w:space="0"/>
              <w:right w:val="outset" w:color="auto" w:sz="6" w:space="0"/>
            </w:tcBorders>
            <w:shd w:val="clear" w:color="auto" w:fill="FFFFFF"/>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32" w:lineRule="atLeast"/>
              <w:ind w:left="0" w:right="0" w:firstLine="420"/>
              <w:jc w:val="center"/>
              <w:textAlignment w:val="baseline"/>
            </w:pPr>
            <w:r>
              <w:rPr>
                <w:rFonts w:hint="eastAsia" w:ascii="微软雅黑" w:hAnsi="微软雅黑" w:eastAsia="微软雅黑" w:cs="微软雅黑"/>
                <w:i w:val="0"/>
                <w:iCs w:val="0"/>
                <w:caps w:val="0"/>
                <w:color w:val="000000"/>
                <w:spacing w:val="0"/>
                <w:sz w:val="24"/>
                <w:szCs w:val="24"/>
                <w:bdr w:val="none" w:color="auto" w:sz="0" w:space="0"/>
                <w:vertAlign w:val="baseline"/>
              </w:rPr>
              <w:t>5000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32" w:lineRule="atLeast"/>
        <w:ind w:left="0" w:right="0" w:firstLine="420"/>
        <w:textAlignment w:val="baseline"/>
        <w:rPr>
          <w:rFonts w:ascii="宋体" w:hAnsi="宋体" w:eastAsia="宋体" w:cs="宋体"/>
          <w:kern w:val="0"/>
          <w:sz w:val="24"/>
          <w:szCs w:val="24"/>
          <w:bdr w:val="none" w:color="auto" w:sz="0" w:space="0"/>
          <w:lang w:val="en-US" w:eastAsia="zh-CN" w:bidi="ar"/>
        </w:rPr>
      </w:pPr>
      <w:r>
        <w:rPr>
          <w:rFonts w:hint="eastAsia" w:ascii="微软雅黑" w:hAnsi="微软雅黑" w:eastAsia="微软雅黑" w:cs="微软雅黑"/>
          <w:i w:val="0"/>
          <w:iCs w:val="0"/>
          <w:caps w:val="0"/>
          <w:color w:val="000000"/>
          <w:spacing w:val="0"/>
          <w:sz w:val="24"/>
          <w:szCs w:val="24"/>
          <w:bdr w:val="none" w:color="auto" w:sz="0" w:space="0"/>
          <w:shd w:val="clear" w:fill="FFFFFF"/>
          <w:vertAlign w:val="baseline"/>
        </w:rPr>
        <w:t>4.成为赞助商：为提升企业的品牌知名度和美誉度，彰显卓越的产品品质和服务，展览特设大会赞助商平台，欢迎企业来电咨询，由双方商定具体条款。</w:t>
      </w:r>
    </w:p>
    <w:p>
      <w:pPr>
        <w:keepNext w:val="0"/>
        <w:keepLines w:val="0"/>
        <w:widowControl/>
        <w:numPr>
          <w:numId w:val="0"/>
        </w:numPr>
        <w:suppressLineNumbers w:val="0"/>
        <w:ind w:left="70" w:leftChars="0"/>
        <w:jc w:val="left"/>
        <w:rPr>
          <w:rFonts w:ascii="宋体" w:hAnsi="宋体" w:eastAsia="宋体" w:cs="宋体"/>
          <w:kern w:val="0"/>
          <w:sz w:val="24"/>
          <w:szCs w:val="24"/>
          <w:bdr w:val="none" w:color="auto" w:sz="0" w:space="0"/>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spacing w:val="8"/>
        </w:rPr>
      </w:pPr>
      <w:r>
        <w:rPr>
          <w:rFonts w:ascii="PingFangTC-light" w:hAnsi="PingFangTC-light" w:eastAsia="PingFangTC-light" w:cs="PingFangTC-light"/>
          <w:color w:val="000000"/>
          <w:spacing w:val="8"/>
          <w:sz w:val="22"/>
          <w:szCs w:val="22"/>
          <w:bdr w:val="none" w:color="auto" w:sz="0" w:space="0"/>
        </w:rPr>
        <w:t>扫描下方二维码，预约参观快速入场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jc w:val="center"/>
        <w:rPr>
          <w:rFonts w:hint="eastAsia" w:ascii="Microsoft YaHei UI" w:hAnsi="Microsoft YaHei UI" w:eastAsia="Microsoft YaHei UI" w:cs="Microsoft YaHei UI"/>
          <w:spacing w:val="8"/>
        </w:rPr>
      </w:pPr>
      <w:r>
        <w:rPr>
          <w:rFonts w:hint="eastAsia" w:ascii="Microsoft YaHei UI" w:hAnsi="Microsoft YaHei UI" w:eastAsia="Microsoft YaHei UI" w:cs="Microsoft YaHei UI"/>
          <w:color w:val="222222"/>
          <w:spacing w:val="8"/>
          <w:sz w:val="22"/>
          <w:szCs w:val="22"/>
          <w:bdr w:val="none" w:color="auto" w:sz="0" w:space="0"/>
        </w:rPr>
        <w:drawing>
          <wp:inline distT="0" distB="0" distL="114300" distR="114300">
            <wp:extent cx="5124450" cy="2971800"/>
            <wp:effectExtent l="0" t="0" r="0" b="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6"/>
                    <a:stretch>
                      <a:fillRect/>
                    </a:stretch>
                  </pic:blipFill>
                  <pic:spPr>
                    <a:xfrm>
                      <a:off x="0" y="0"/>
                      <a:ext cx="5124450" cy="29718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ascii="宋体" w:hAnsi="宋体" w:eastAsia="宋体" w:cs="宋体"/>
          <w:kern w:val="0"/>
          <w:sz w:val="22"/>
          <w:szCs w:val="22"/>
          <w:bdr w:val="none" w:color="auto" w:sz="0" w:space="0"/>
          <w:lang w:val="en-US" w:eastAsia="zh-CN" w:bidi="ar"/>
        </w:rPr>
      </w:pPr>
      <w:r>
        <w:rPr>
          <w:rFonts w:ascii="宋体" w:hAnsi="宋体" w:eastAsia="宋体" w:cs="宋体"/>
          <w:kern w:val="0"/>
          <w:sz w:val="22"/>
          <w:szCs w:val="22"/>
          <w:bdr w:val="none" w:color="auto" w:sz="0" w:space="0"/>
          <w:lang w:val="en-US" w:eastAsia="zh-CN" w:bidi="ar"/>
        </w:rPr>
        <w:br w:type="textWrapping"/>
      </w:r>
      <w:r>
        <w:rPr>
          <w:rStyle w:val="5"/>
          <w:rFonts w:hint="eastAsia" w:ascii="微软雅黑" w:hAnsi="微软雅黑" w:eastAsia="微软雅黑" w:cs="微软雅黑"/>
          <w:i w:val="0"/>
          <w:iCs w:val="0"/>
          <w:caps w:val="0"/>
          <w:color w:val="000000"/>
          <w:spacing w:val="0"/>
          <w:sz w:val="24"/>
          <w:szCs w:val="24"/>
          <w:shd w:val="clear" w:fill="FFFFFF"/>
          <w:vertAlign w:val="baseline"/>
          <w:lang w:val="en-US" w:eastAsia="zh-CN"/>
        </w:rPr>
        <w:t> </w:t>
      </w:r>
      <w:r>
        <w:rPr>
          <w:rStyle w:val="5"/>
          <w:rFonts w:hint="eastAsia" w:ascii="微软雅黑" w:hAnsi="微软雅黑" w:eastAsia="微软雅黑" w:cs="微软雅黑"/>
          <w:i w:val="0"/>
          <w:iCs w:val="0"/>
          <w:caps w:val="0"/>
          <w:color w:val="000000"/>
          <w:spacing w:val="0"/>
          <w:sz w:val="24"/>
          <w:szCs w:val="24"/>
          <w:shd w:val="clear" w:fill="FFFFFF"/>
          <w:vertAlign w:val="baseline"/>
          <w:lang w:val="en-US" w:eastAsia="zh-CN"/>
        </w:rPr>
        <w:t>联系方式 </w:t>
      </w:r>
      <w:r>
        <w:rPr>
          <w:rFonts w:ascii="宋体" w:hAnsi="宋体" w:eastAsia="宋体" w:cs="宋体"/>
          <w:kern w:val="0"/>
          <w:sz w:val="22"/>
          <w:szCs w:val="22"/>
          <w:bdr w:val="none" w:color="auto" w:sz="0" w:space="0"/>
          <w:lang w:val="en-US" w:eastAsia="zh-CN" w:bidi="ar"/>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2"/>
          <w:szCs w:val="22"/>
        </w:rPr>
      </w:pPr>
      <w:r>
        <w:rPr>
          <w:rFonts w:ascii="宋体" w:hAnsi="宋体" w:eastAsia="宋体" w:cs="宋体"/>
          <w:kern w:val="0"/>
          <w:sz w:val="22"/>
          <w:szCs w:val="22"/>
          <w:bdr w:val="none" w:color="auto" w:sz="0" w:space="0"/>
          <w:lang w:val="en-US" w:eastAsia="zh-CN" w:bidi="ar"/>
        </w:rPr>
        <w:t>咨询热线：19930228900 刘女士</w:t>
      </w:r>
      <w:r>
        <w:rPr>
          <w:sz w:val="22"/>
          <w:szCs w:val="22"/>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eastAsiaTheme="minorEastAsia"/>
          <w:lang w:eastAsia="zh-CN"/>
        </w:rPr>
      </w:pPr>
      <w:r>
        <w:rPr>
          <w:sz w:val="22"/>
          <w:szCs w:val="22"/>
        </w:rPr>
        <w:t>邮箱：expo@dxkongjian.com.cn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PingFangT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815EF9"/>
    <w:multiLevelType w:val="singleLevel"/>
    <w:tmpl w:val="E9815EF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wNTgzYjQyYzVlOWY2MDQwZTQxMjY5MDZiNGJiMDcifQ=="/>
  </w:docVars>
  <w:rsids>
    <w:rsidRoot w:val="5ED86CD3"/>
    <w:rsid w:val="05241B93"/>
    <w:rsid w:val="5ED86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2023-01-06T01:53:00Z</dcterms:created>
  <dc:creator>1602</dc:creator>
  <cp:lastModifiedBy>1602</cp:lastModifiedBy>
  <dcterms:modified xsi:type="dcterms:W3CDTF">2023-01-06T02:23:21Z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656F805AAAF14FC6AF9F2D56B043CCC5</vt:lpwstr>
  </property>
</Properties>
</file>