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299"/>
        <w:rPr>
          <w:rFonts w:ascii="Times New Roman"/>
          <w:sz w:val="20"/>
        </w:rPr>
      </w:pPr>
      <w:bookmarkStart w:id="0" w:name="_GoBack"/>
      <w:bookmarkEnd w:id="0"/>
      <w:r>
        <w:rPr>
          <w:rFonts w:ascii="Times New Roman"/>
          <w:sz w:val="20"/>
        </w:rPr>
        <w:pict>
          <v:group id="docshapegroup1" o:spid="_x0000_s1026" o:spt="203" style="height:99.55pt;width:501.6pt;" coordsize="10032,1991">
            <o:lock v:ext="edit"/>
            <v:shape id="docshape2" o:spid="_x0000_s1027" o:spt="75" type="#_x0000_t75" style="position:absolute;left:0;top:0;height:1834;width:10032;" filled="f" stroked="f" coordsize="21600,21600">
              <v:path/>
              <v:fill on="f" focussize="0,0"/>
              <v:stroke on="f"/>
              <v:imagedata r:id="rId6" o:title=""/>
              <o:lock v:ext="edit" aspectratio="t"/>
            </v:shape>
            <v:shape id="docshape3" o:spid="_x0000_s1028" style="position:absolute;left:164;top:1734;height:46;width:9676;" fillcolor="#404040" filled="t" stroked="f" coordorigin="165,1734" coordsize="9676,46" path="m9841,1780l165,1779,165,1734,9841,1735,9841,1780xe">
              <v:path arrowok="t"/>
              <v:fill on="t" focussize="0,0"/>
              <v:stroke on="f"/>
              <v:imagedata o:title=""/>
              <o:lock v:ext="edit"/>
            </v:shape>
            <v:shape id="docshape4" o:spid="_x0000_s1029" o:spt="202" type="#_x0000_t202" style="position:absolute;left:0;top:0;height:1991;width:10032;" filled="f" stroked="f" coordsize="21600,21600">
              <v:path/>
              <v:fill on="f" focussize="0,0"/>
              <v:stroke on="f" joinstyle="miter"/>
              <v:imagedata o:title=""/>
              <o:lock v:ext="edit"/>
              <v:textbox inset="0mm,0mm,0mm,0mm">
                <w:txbxContent>
                  <w:p>
                    <w:pPr>
                      <w:spacing w:before="0" w:line="240" w:lineRule="auto"/>
                      <w:rPr>
                        <w:rFonts w:ascii="Times New Roman"/>
                        <w:sz w:val="24"/>
                      </w:rPr>
                    </w:pPr>
                  </w:p>
                  <w:p>
                    <w:pPr>
                      <w:spacing w:before="0" w:line="240" w:lineRule="auto"/>
                      <w:rPr>
                        <w:rFonts w:ascii="Times New Roman"/>
                        <w:sz w:val="24"/>
                      </w:rPr>
                    </w:pPr>
                  </w:p>
                  <w:p>
                    <w:pPr>
                      <w:spacing w:before="0" w:line="240" w:lineRule="auto"/>
                      <w:rPr>
                        <w:rFonts w:ascii="Times New Roman"/>
                        <w:sz w:val="24"/>
                      </w:rPr>
                    </w:pPr>
                  </w:p>
                  <w:p>
                    <w:pPr>
                      <w:spacing w:before="0" w:line="240" w:lineRule="auto"/>
                      <w:rPr>
                        <w:rFonts w:ascii="Times New Roman"/>
                        <w:sz w:val="24"/>
                      </w:rPr>
                    </w:pPr>
                  </w:p>
                  <w:p>
                    <w:pPr>
                      <w:spacing w:before="0" w:line="240" w:lineRule="auto"/>
                      <w:rPr>
                        <w:rFonts w:ascii="Times New Roman"/>
                        <w:sz w:val="24"/>
                      </w:rPr>
                    </w:pPr>
                  </w:p>
                  <w:p>
                    <w:pPr>
                      <w:spacing w:before="3" w:line="240" w:lineRule="auto"/>
                      <w:rPr>
                        <w:rFonts w:ascii="Times New Roman"/>
                        <w:sz w:val="29"/>
                      </w:rPr>
                    </w:pPr>
                  </w:p>
                  <w:p>
                    <w:pPr>
                      <w:spacing w:before="0" w:line="274" w:lineRule="exact"/>
                      <w:ind w:left="165" w:right="0" w:firstLine="0"/>
                      <w:jc w:val="left"/>
                      <w:rPr>
                        <w:sz w:val="24"/>
                      </w:rPr>
                    </w:pPr>
                    <w:r>
                      <w:rPr>
                        <w:spacing w:val="-2"/>
                        <w:sz w:val="24"/>
                      </w:rPr>
                      <w:t xml:space="preserve">蒙古乌兰巴托矿业与石油展览会 </w:t>
                    </w:r>
                    <w:r>
                      <w:rPr>
                        <w:sz w:val="24"/>
                      </w:rPr>
                      <w:t>Mongolia</w:t>
                    </w:r>
                    <w:r>
                      <w:rPr>
                        <w:spacing w:val="-19"/>
                        <w:sz w:val="24"/>
                      </w:rPr>
                      <w:t xml:space="preserve"> </w:t>
                    </w:r>
                    <w:r>
                      <w:rPr>
                        <w:spacing w:val="-2"/>
                        <w:sz w:val="24"/>
                      </w:rPr>
                      <w:t>Mining</w:t>
                    </w:r>
                  </w:p>
                </w:txbxContent>
              </v:textbox>
            </v:shape>
            <w10:wrap type="none"/>
            <w10:anchorlock/>
          </v:group>
        </w:pict>
      </w:r>
    </w:p>
    <w:p>
      <w:pPr>
        <w:pStyle w:val="2"/>
        <w:spacing w:line="283" w:lineRule="exact"/>
      </w:pPr>
      <w:r>
        <w:t>展会时间：2023-09-27- 09-29</w:t>
      </w:r>
      <w:r>
        <w:rPr>
          <w:spacing w:val="-35"/>
        </w:rPr>
        <w:t xml:space="preserve"> 日</w:t>
      </w:r>
    </w:p>
    <w:p>
      <w:pPr>
        <w:pStyle w:val="2"/>
        <w:spacing w:before="1" w:line="235" w:lineRule="auto"/>
        <w:ind w:right="5819"/>
      </w:pPr>
      <w:r>
        <w:rPr>
          <w:spacing w:val="-3"/>
        </w:rPr>
        <w:t>举办地址：亚洲-蒙古 乌兰巴托国家体育馆</w:t>
      </w:r>
      <w:r>
        <w:rPr>
          <w:spacing w:val="-2"/>
        </w:rPr>
        <w:t>展会行业：矿山机械</w:t>
      </w:r>
    </w:p>
    <w:p>
      <w:pPr>
        <w:pStyle w:val="2"/>
        <w:spacing w:line="235" w:lineRule="auto"/>
        <w:ind w:right="4577"/>
      </w:pPr>
      <w:r>
        <w:drawing>
          <wp:anchor distT="0" distB="0" distL="0" distR="0" simplePos="0" relativeHeight="251659264" behindDoc="0" locked="0" layoutInCell="1" allowOverlap="1">
            <wp:simplePos x="0" y="0"/>
            <wp:positionH relativeFrom="page">
              <wp:posOffset>4411345</wp:posOffset>
            </wp:positionH>
            <wp:positionV relativeFrom="paragraph">
              <wp:posOffset>55245</wp:posOffset>
            </wp:positionV>
            <wp:extent cx="2553970" cy="662940"/>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jpeg"/>
                    <pic:cNvPicPr>
                      <a:picLocks noChangeAspect="1"/>
                    </pic:cNvPicPr>
                  </pic:nvPicPr>
                  <pic:blipFill>
                    <a:blip r:embed="rId7" cstate="print"/>
                    <a:stretch>
                      <a:fillRect/>
                    </a:stretch>
                  </pic:blipFill>
                  <pic:spPr>
                    <a:xfrm>
                      <a:off x="0" y="0"/>
                      <a:ext cx="2554224" cy="662940"/>
                    </a:xfrm>
                    <a:prstGeom prst="rect">
                      <a:avLst/>
                    </a:prstGeom>
                  </pic:spPr>
                </pic:pic>
              </a:graphicData>
            </a:graphic>
          </wp:anchor>
        </w:drawing>
      </w:r>
      <w:r>
        <w:rPr>
          <w:spacing w:val="-2"/>
        </w:rPr>
        <w:t>主办单位：MinexMongoliaCo.、Ltd、ErdenesMongolLLC</w:t>
      </w:r>
      <w:r>
        <w:t>举办周期：1</w:t>
      </w:r>
      <w:r>
        <w:rPr>
          <w:spacing w:val="-10"/>
        </w:rPr>
        <w:t xml:space="preserve"> 年 </w:t>
      </w:r>
      <w:r>
        <w:t>1</w:t>
      </w:r>
      <w:r>
        <w:rPr>
          <w:spacing w:val="-7"/>
        </w:rPr>
        <w:t xml:space="preserve"> 届</w:t>
      </w:r>
    </w:p>
    <w:p>
      <w:pPr>
        <w:pStyle w:val="2"/>
        <w:spacing w:line="296" w:lineRule="exact"/>
      </w:pPr>
      <w:r>
        <w:rPr>
          <w:spacing w:val="-3"/>
        </w:rPr>
        <w:t>展会介绍</w:t>
      </w:r>
    </w:p>
    <w:p>
      <w:pPr>
        <w:pStyle w:val="2"/>
        <w:spacing w:line="300" w:lineRule="exact"/>
      </w:pPr>
      <w:r>
        <w:rPr>
          <w:spacing w:val="-2"/>
        </w:rPr>
        <w:t>蒙古乌兰巴托矿业与石油展览会（Mongolia</w:t>
      </w:r>
      <w:r>
        <w:rPr>
          <w:spacing w:val="-21"/>
        </w:rPr>
        <w:t xml:space="preserve"> </w:t>
      </w:r>
      <w:r>
        <w:rPr>
          <w:spacing w:val="-2"/>
        </w:rPr>
        <w:t>Mining）</w:t>
      </w:r>
      <w:r>
        <w:rPr>
          <w:spacing w:val="-10"/>
        </w:rPr>
        <w:t>是</w:t>
      </w:r>
    </w:p>
    <w:p>
      <w:pPr>
        <w:pStyle w:val="2"/>
        <w:spacing w:line="235" w:lineRule="auto"/>
        <w:ind w:right="344"/>
      </w:pPr>
      <w:r>
        <w:rPr>
          <w:spacing w:val="-2"/>
        </w:rPr>
        <w:t>蒙古最大规模、最重要的矿业与石油展览会。展出蒙古传统的采矿和新兴石油工业，参展商和参观者代表着该行业的主要公司和最多的专业人士。</w:t>
      </w:r>
    </w:p>
    <w:p>
      <w:pPr>
        <w:pStyle w:val="2"/>
        <w:spacing w:line="242" w:lineRule="auto"/>
        <w:ind w:right="299"/>
        <w:jc w:val="both"/>
      </w:pPr>
      <w:r>
        <w:rPr>
          <w:spacing w:val="-4"/>
        </w:rPr>
        <w:t xml:space="preserve">此外，蒙古乌兰巴托矿业与石油展 </w:t>
      </w:r>
      <w:r>
        <w:t>Mongolia</w:t>
      </w:r>
      <w:r>
        <w:rPr>
          <w:spacing w:val="-46"/>
        </w:rPr>
        <w:t xml:space="preserve"> </w:t>
      </w:r>
      <w:r>
        <w:t>Mining</w:t>
      </w:r>
      <w:r>
        <w:rPr>
          <w:spacing w:val="-8"/>
        </w:rPr>
        <w:t xml:space="preserve"> 组委会还将与来自政府及其机构，学术界学</w:t>
      </w:r>
      <w:r>
        <w:rPr>
          <w:spacing w:val="-9"/>
        </w:rPr>
        <w:t>者和商业专业人士的演讲人举行研讨会，内容涵盖政府关于矿产资源政策和适应新法律的政策，</w:t>
      </w:r>
      <w:r>
        <w:t>蒙古的采矿和基础设施项目，趋势和预测该行业以及更多。</w:t>
      </w:r>
    </w:p>
    <w:p>
      <w:pPr>
        <w:pStyle w:val="2"/>
        <w:rPr>
          <w:sz w:val="20"/>
        </w:rPr>
      </w:pPr>
      <w:r>
        <w:rPr>
          <w:sz w:val="20"/>
        </w:rPr>
        <w:pict>
          <v:group id="docshapegroup5" o:spid="_x0000_s1030" o:spt="203" style="height:281.05pt;width:507.6pt;" coordsize="10152,5621">
            <o:lock v:ext="edit"/>
            <v:shape id="docshape6" o:spid="_x0000_s1031" o:spt="75" type="#_x0000_t75" style="position:absolute;left:136;top:1792;height:3449;width:10016;" filled="f" stroked="f" coordsize="21600,21600">
              <v:path/>
              <v:fill on="f" focussize="0,0"/>
              <v:stroke on="f"/>
              <v:imagedata r:id="rId8" o:title=""/>
              <o:lock v:ext="edit" aspectratio="t"/>
            </v:shape>
            <v:shape id="docshape7" o:spid="_x0000_s1032" o:spt="75" type="#_x0000_t75" style="position:absolute;left:0;top:0;height:5621;width:10023;" filled="f" stroked="f" coordsize="21600,21600">
              <v:path/>
              <v:fill on="f" focussize="0,0"/>
              <v:stroke on="f"/>
              <v:imagedata r:id="rId9" o:title=""/>
              <o:lock v:ext="edit" aspectratio="t"/>
            </v:shape>
            <w10:wrap type="none"/>
            <w10:anchorlock/>
          </v:group>
        </w:pict>
      </w:r>
    </w:p>
    <w:p>
      <w:pPr>
        <w:pStyle w:val="2"/>
        <w:spacing w:line="290" w:lineRule="exact"/>
      </w:pPr>
      <w:r>
        <w:rPr>
          <w:spacing w:val="-3"/>
        </w:rPr>
        <w:t>最近蒙古的战略性存款和采矿和基础设施项目的发展使该行业处于有希望增长的关键阶段，为投</w:t>
      </w:r>
    </w:p>
    <w:p>
      <w:pPr>
        <w:pStyle w:val="2"/>
        <w:spacing w:before="4" w:line="242" w:lineRule="auto"/>
        <w:ind w:right="299"/>
        <w:jc w:val="both"/>
      </w:pPr>
      <w:r>
        <w:rPr>
          <w:spacing w:val="-1"/>
        </w:rPr>
        <w:t>资者和矿业公司提供了巨大的机会。蒙古矿业的目标是将先进技术引入蒙古快速发展的采矿业，</w:t>
      </w:r>
      <w:r>
        <w:rPr>
          <w:spacing w:val="-3"/>
        </w:rPr>
        <w:t>另一方面为我们的参展商提供不仅在矿业方面，而且在一些相关领域的卓越合作机会。蒙古乌兰</w:t>
      </w:r>
      <w:r>
        <w:rPr>
          <w:spacing w:val="-10"/>
        </w:rPr>
        <w:t xml:space="preserve">巴托矿业与石油展 </w:t>
      </w:r>
      <w:r>
        <w:t>Mongolia</w:t>
      </w:r>
      <w:r>
        <w:rPr>
          <w:spacing w:val="-46"/>
        </w:rPr>
        <w:t xml:space="preserve"> </w:t>
      </w:r>
      <w:r>
        <w:t>Mining</w:t>
      </w:r>
      <w:r>
        <w:rPr>
          <w:spacing w:val="-8"/>
        </w:rPr>
        <w:t xml:space="preserve"> 大多数国际参展商首次在蒙古展示他们的产品进入这个蓬勃发展的市场。</w:t>
      </w:r>
    </w:p>
    <w:p>
      <w:pPr>
        <w:pStyle w:val="2"/>
        <w:spacing w:before="4"/>
      </w:pPr>
      <w:r>
        <w:rPr>
          <w:spacing w:val="-3"/>
        </w:rPr>
        <w:t>展品范围</w:t>
      </w:r>
    </w:p>
    <w:p>
      <w:pPr>
        <w:pStyle w:val="2"/>
        <w:spacing w:before="6" w:line="235" w:lineRule="auto"/>
        <w:ind w:right="224"/>
      </w:pPr>
      <w:r>
        <w:rPr>
          <w:spacing w:val="-5"/>
        </w:rPr>
        <w:t>采矿设备：采掘设备、装载设备、运输设备、提升设备、爆破器材、施工机械; 采矿设备、物探、</w:t>
      </w:r>
      <w:r>
        <w:rPr>
          <w:spacing w:val="-2"/>
        </w:rPr>
        <w:t>化探、航测遥感、测绘服务、地质数据处理，技术服务：自动化和信息服务公司、软件开发、数据处理设备、实验室分析仪器、仪表</w:t>
      </w:r>
    </w:p>
    <w:p>
      <w:pPr>
        <w:pStyle w:val="2"/>
        <w:spacing w:line="295" w:lineRule="exact"/>
      </w:pPr>
      <w:r>
        <w:rPr>
          <w:spacing w:val="-1"/>
        </w:rPr>
        <w:t>矿物加工：破碎粉磨设备、矿用筛分设备、洗选设备</w:t>
      </w:r>
    </w:p>
    <w:p>
      <w:pPr>
        <w:pStyle w:val="2"/>
        <w:spacing w:before="1" w:line="235" w:lineRule="auto"/>
        <w:ind w:right="344"/>
        <w:jc w:val="both"/>
      </w:pPr>
      <w:r>
        <w:t>安全环保：通风设备、除尘设备、防护设备等；采矿机械设备；铲运机, 运输车,起重机、输送</w:t>
      </w:r>
      <w:r>
        <w:rPr>
          <w:spacing w:val="-2"/>
        </w:rPr>
        <w:t>带、地下装载机和卡车、矿井电气火车头,露天坑口技术；辅助机械和设备、压缩机、柴油发电机、地下燃料加油机、运输设备、岩石粉碎机</w:t>
      </w:r>
    </w:p>
    <w:p>
      <w:pPr>
        <w:pStyle w:val="2"/>
        <w:spacing w:line="299" w:lineRule="exact"/>
      </w:pPr>
      <w:r>
        <w:rPr>
          <w:spacing w:val="-3"/>
        </w:rPr>
        <w:t>开矿工程工具与设备：硬金属工具，研磨剂，金刚刀具；工艺设备；采矿工程通风；钻探技术和</w:t>
      </w:r>
    </w:p>
    <w:p>
      <w:pPr>
        <w:spacing w:after="0" w:line="299" w:lineRule="exact"/>
        <w:sectPr>
          <w:type w:val="continuous"/>
          <w:pgSz w:w="11910" w:h="16840"/>
          <w:pgMar w:top="0" w:right="560" w:bottom="280" w:left="500" w:header="720" w:footer="720" w:gutter="0"/>
          <w:cols w:space="720" w:num="1"/>
        </w:sectPr>
      </w:pPr>
    </w:p>
    <w:p>
      <w:pPr>
        <w:pStyle w:val="2"/>
        <w:ind w:left="0"/>
        <w:rPr>
          <w:sz w:val="20"/>
        </w:rPr>
      </w:pPr>
    </w:p>
    <w:p>
      <w:pPr>
        <w:pStyle w:val="2"/>
        <w:ind w:left="0"/>
        <w:rPr>
          <w:sz w:val="20"/>
        </w:rPr>
      </w:pPr>
    </w:p>
    <w:p>
      <w:pPr>
        <w:pStyle w:val="2"/>
        <w:ind w:left="0"/>
        <w:rPr>
          <w:sz w:val="20"/>
        </w:rPr>
      </w:pPr>
    </w:p>
    <w:p>
      <w:pPr>
        <w:pStyle w:val="2"/>
        <w:ind w:left="0"/>
        <w:rPr>
          <w:sz w:val="20"/>
        </w:rPr>
      </w:pPr>
    </w:p>
    <w:p>
      <w:pPr>
        <w:pStyle w:val="2"/>
        <w:ind w:left="0"/>
        <w:rPr>
          <w:sz w:val="20"/>
        </w:rPr>
      </w:pPr>
    </w:p>
    <w:p>
      <w:pPr>
        <w:pStyle w:val="2"/>
        <w:spacing w:before="5"/>
        <w:ind w:left="0"/>
        <w:rPr>
          <w:sz w:val="27"/>
        </w:rPr>
      </w:pPr>
    </w:p>
    <w:p>
      <w:pPr>
        <w:pStyle w:val="2"/>
        <w:spacing w:before="67" w:line="304" w:lineRule="exact"/>
      </w:pPr>
      <w:r>
        <w:pict>
          <v:group id="docshapegroup8" o:spid="_x0000_s1033" o:spt="203" style="position:absolute;left:0pt;margin-left:39.95pt;margin-top:-82.5pt;height:91.7pt;width:501.6pt;mso-position-horizontal-relative:page;z-index:-251655168;mso-width-relative:page;mso-height-relative:page;" coordorigin="799,-1650" coordsize="10032,1834">
            <o:lock v:ext="edit"/>
            <v:shape id="docshape9" o:spid="_x0000_s1034" o:spt="75" type="#_x0000_t75" style="position:absolute;left:799;top:-1650;height:1834;width:10032;" filled="f" stroked="f" coordsize="21600,21600">
              <v:path/>
              <v:fill on="f" focussize="0,0"/>
              <v:stroke on="f"/>
              <v:imagedata r:id="rId6" o:title=""/>
              <o:lock v:ext="edit" aspectratio="t"/>
            </v:shape>
            <v:shape id="docshape10" o:spid="_x0000_s1035" style="position:absolute;left:964;top:84;height:46;width:9676;" fillcolor="#404040" filled="t" stroked="f" coordorigin="964,84" coordsize="9676,46" path="m10640,130l964,129,964,84,10640,85,10640,130xe">
              <v:path arrowok="t"/>
              <v:fill on="t" focussize="0,0"/>
              <v:stroke on="f"/>
              <v:imagedata o:title=""/>
              <o:lock v:ext="edit"/>
            </v:shape>
          </v:group>
        </w:pict>
      </w:r>
      <w:r>
        <w:rPr>
          <w:spacing w:val="-1"/>
        </w:rPr>
        <w:t>爆破材料；各类工程机械、矿山机械及技术；各类泵类等</w:t>
      </w:r>
    </w:p>
    <w:p>
      <w:pPr>
        <w:pStyle w:val="2"/>
        <w:spacing w:before="1" w:line="235" w:lineRule="auto"/>
        <w:ind w:right="347"/>
      </w:pPr>
      <w:r>
        <w:rPr>
          <w:spacing w:val="-2"/>
        </w:rPr>
        <w:t>煤炭加工利用技术与设备：煤炭洗选、洁净、储存、加工转化；煤泥；煤质检测；煤矿环境保护</w:t>
      </w:r>
      <w:r>
        <w:rPr>
          <w:spacing w:val="-10"/>
        </w:rPr>
        <w:t>等</w:t>
      </w:r>
    </w:p>
    <w:p>
      <w:pPr>
        <w:pStyle w:val="2"/>
        <w:spacing w:line="300" w:lineRule="exact"/>
      </w:pPr>
      <w:r>
        <w:rPr>
          <w:spacing w:val="-1"/>
        </w:rPr>
        <w:t>石油机构：石油勘探公司、地质调查和勘探公司、石油进口商和零售商</w:t>
      </w:r>
    </w:p>
    <w:p>
      <w:pPr>
        <w:pStyle w:val="2"/>
        <w:rPr>
          <w:sz w:val="20"/>
        </w:rPr>
      </w:pPr>
      <w:r>
        <w:rPr>
          <w:sz w:val="20"/>
        </w:rPr>
        <w:drawing>
          <wp:inline distT="0" distB="0" distL="0" distR="0">
            <wp:extent cx="6280785" cy="3064510"/>
            <wp:effectExtent l="0" t="0" r="0" b="0"/>
            <wp:docPr id="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5.jpeg"/>
                    <pic:cNvPicPr>
                      <a:picLocks noChangeAspect="1"/>
                    </pic:cNvPicPr>
                  </pic:nvPicPr>
                  <pic:blipFill>
                    <a:blip r:embed="rId10" cstate="print"/>
                    <a:stretch>
                      <a:fillRect/>
                    </a:stretch>
                  </pic:blipFill>
                  <pic:spPr>
                    <a:xfrm>
                      <a:off x="0" y="0"/>
                      <a:ext cx="6281366" cy="3064668"/>
                    </a:xfrm>
                    <a:prstGeom prst="rect">
                      <a:avLst/>
                    </a:prstGeom>
                  </pic:spPr>
                </pic:pic>
              </a:graphicData>
            </a:graphic>
          </wp:inline>
        </w:drawing>
      </w:r>
    </w:p>
    <w:p>
      <w:pPr>
        <w:pStyle w:val="2"/>
        <w:rPr>
          <w:rFonts w:hint="eastAsia"/>
          <w:sz w:val="20"/>
          <w:lang w:val="en-US" w:eastAsia="zh-CN"/>
        </w:rPr>
      </w:pPr>
      <w:r>
        <w:rPr>
          <w:sz w:val="20"/>
        </w:rPr>
        <w:pict>
          <v:group id="docshapegroup11" o:spid="_x0000_s1036" o:spt="203" style="height:84.75pt;width:486.1pt;" coordsize="9722,1695">
            <o:lock v:ext="edit"/>
            <v:shape id="docshape12" o:spid="_x0000_s1037" o:spt="75" type="#_x0000_t75" style="position:absolute;left:0;top:0;height:1695;width:9722;" filled="f" stroked="f" coordsize="21600,21600">
              <v:path/>
              <v:fill on="f" focussize="0,0"/>
              <v:stroke on="f"/>
              <v:imagedata r:id="rId11" o:title=""/>
              <o:lock v:ext="edit" aspectratio="t"/>
            </v:shape>
            <v:shape id="docshape13" o:spid="_x0000_s1038" o:spt="202" type="#_x0000_t202" style="position:absolute;left:1959;top:164;height:942;width:7752;" filled="f" stroked="f" coordsize="21600,21600">
              <v:path/>
              <v:fill on="f" focussize="0,0"/>
              <v:stroke on="f" joinstyle="miter"/>
              <v:imagedata o:title=""/>
              <o:lock v:ext="edit"/>
              <v:textbox inset="0mm,0mm,0mm,0mm">
                <w:txbxContent>
                  <w:p>
                    <w:pPr>
                      <w:spacing w:before="0" w:line="941" w:lineRule="exact"/>
                      <w:ind w:left="0" w:right="0" w:firstLine="0"/>
                      <w:jc w:val="left"/>
                      <w:rPr>
                        <w:rFonts w:ascii="Times New Roman" w:hAnsi="Times New Roman"/>
                        <w:sz w:val="85"/>
                      </w:rPr>
                    </w:pPr>
                    <w:r>
                      <w:rPr>
                        <w:rFonts w:ascii="Times New Roman" w:hAnsi="Times New Roman"/>
                        <w:color w:val="707070"/>
                        <w:spacing w:val="-2"/>
                        <w:sz w:val="85"/>
                      </w:rPr>
                      <w:t>1tÏïØ&amp;*üBP›5û6Müó</w:t>
                    </w:r>
                  </w:p>
                </w:txbxContent>
              </v:textbox>
            </v:shape>
            <v:shape id="docshape14" o:spid="_x0000_s1039" o:spt="202" type="#_x0000_t202" style="position:absolute;left:2053;top:883;height:399;width:7657;" filled="f" stroked="f" coordsize="21600,21600">
              <v:path/>
              <v:fill on="f" focussize="0,0"/>
              <v:stroke on="f" joinstyle="miter"/>
              <v:imagedata o:title=""/>
              <o:lock v:ext="edit"/>
              <v:textbox inset="0mm,0mm,0mm,0mm">
                <w:txbxContent>
                  <w:p>
                    <w:pPr>
                      <w:spacing w:before="0" w:line="399" w:lineRule="exact"/>
                      <w:ind w:left="0" w:right="0" w:firstLine="0"/>
                      <w:jc w:val="left"/>
                      <w:rPr>
                        <w:rFonts w:ascii="Times New Roman"/>
                        <w:sz w:val="36"/>
                      </w:rPr>
                    </w:pPr>
                    <w:r>
                      <w:rPr>
                        <w:rFonts w:ascii="Times New Roman"/>
                        <w:color w:val="797979"/>
                        <w:w w:val="105"/>
                        <w:sz w:val="36"/>
                      </w:rPr>
                      <w:t>Beijing</w:t>
                    </w:r>
                    <w:r>
                      <w:rPr>
                        <w:rFonts w:ascii="Times New Roman"/>
                        <w:color w:val="797979"/>
                        <w:spacing w:val="22"/>
                        <w:w w:val="105"/>
                        <w:sz w:val="36"/>
                      </w:rPr>
                      <w:t xml:space="preserve">  </w:t>
                    </w:r>
                    <w:r>
                      <w:rPr>
                        <w:rFonts w:ascii="Times New Roman"/>
                        <w:color w:val="6B6B6B"/>
                        <w:w w:val="105"/>
                        <w:sz w:val="36"/>
                      </w:rPr>
                      <w:t>G&amp;Ruita</w:t>
                    </w:r>
                    <w:r>
                      <w:rPr>
                        <w:rFonts w:ascii="Times New Roman"/>
                        <w:color w:val="6B6B6B"/>
                        <w:spacing w:val="40"/>
                        <w:w w:val="105"/>
                        <w:sz w:val="36"/>
                      </w:rPr>
                      <w:t xml:space="preserve">  </w:t>
                    </w:r>
                    <w:r>
                      <w:rPr>
                        <w:rFonts w:ascii="Times New Roman"/>
                        <w:color w:val="6B6B6B"/>
                        <w:w w:val="105"/>
                        <w:sz w:val="36"/>
                      </w:rPr>
                      <w:t>International</w:t>
                    </w:r>
                    <w:r>
                      <w:rPr>
                        <w:rFonts w:ascii="Times New Roman"/>
                        <w:color w:val="6B6B6B"/>
                        <w:spacing w:val="37"/>
                        <w:w w:val="105"/>
                        <w:sz w:val="36"/>
                      </w:rPr>
                      <w:t xml:space="preserve">  </w:t>
                    </w:r>
                    <w:r>
                      <w:rPr>
                        <w:rFonts w:ascii="Times New Roman"/>
                        <w:color w:val="707070"/>
                        <w:w w:val="105"/>
                        <w:sz w:val="36"/>
                      </w:rPr>
                      <w:t>Fairs</w:t>
                    </w:r>
                    <w:r>
                      <w:rPr>
                        <w:rFonts w:ascii="Times New Roman"/>
                        <w:color w:val="707070"/>
                        <w:spacing w:val="14"/>
                        <w:w w:val="105"/>
                        <w:sz w:val="36"/>
                      </w:rPr>
                      <w:t xml:space="preserve">  </w:t>
                    </w:r>
                    <w:r>
                      <w:rPr>
                        <w:rFonts w:ascii="Times New Roman"/>
                        <w:color w:val="777777"/>
                        <w:w w:val="105"/>
                        <w:sz w:val="36"/>
                      </w:rPr>
                      <w:t>Co.</w:t>
                    </w:r>
                    <w:r>
                      <w:rPr>
                        <w:rFonts w:ascii="Times New Roman"/>
                        <w:color w:val="777777"/>
                        <w:spacing w:val="63"/>
                        <w:w w:val="105"/>
                        <w:sz w:val="36"/>
                      </w:rPr>
                      <w:t xml:space="preserve"> </w:t>
                    </w:r>
                    <w:r>
                      <w:rPr>
                        <w:rFonts w:ascii="Times New Roman"/>
                        <w:color w:val="AEAEAE"/>
                        <w:w w:val="105"/>
                        <w:sz w:val="36"/>
                      </w:rPr>
                      <w:t>,</w:t>
                    </w:r>
                    <w:r>
                      <w:rPr>
                        <w:rFonts w:ascii="Times New Roman"/>
                        <w:color w:val="AEAEAE"/>
                        <w:spacing w:val="75"/>
                        <w:w w:val="105"/>
                        <w:sz w:val="36"/>
                      </w:rPr>
                      <w:t xml:space="preserve"> </w:t>
                    </w:r>
                    <w:r>
                      <w:rPr>
                        <w:rFonts w:ascii="Times New Roman"/>
                        <w:color w:val="797979"/>
                        <w:spacing w:val="-5"/>
                        <w:w w:val="105"/>
                        <w:sz w:val="36"/>
                      </w:rPr>
                      <w:t>Ltd</w:t>
                    </w:r>
                  </w:p>
                </w:txbxContent>
              </v:textbox>
            </v:shape>
            <w10:wrap type="none"/>
            <w10:anchorlock/>
          </v:group>
        </w:pict>
      </w:r>
      <w:r>
        <w:rPr>
          <w:rFonts w:hint="eastAsia"/>
          <w:sz w:val="20"/>
          <w:lang w:val="en-US" w:eastAsia="zh-CN"/>
        </w:rPr>
        <w:t xml:space="preserve"> </w:t>
      </w:r>
    </w:p>
    <w:p>
      <w:pPr>
        <w:pStyle w:val="2"/>
        <w:rPr>
          <w:rFonts w:hint="eastAsia"/>
          <w:b/>
          <w:bCs/>
          <w:sz w:val="30"/>
          <w:szCs w:val="30"/>
          <w:lang w:val="en-US" w:eastAsia="zh-CN"/>
        </w:rPr>
      </w:pPr>
    </w:p>
    <w:p>
      <w:pPr>
        <w:pStyle w:val="2"/>
        <w:rPr>
          <w:rFonts w:hint="default"/>
          <w:b/>
          <w:bCs/>
          <w:sz w:val="30"/>
          <w:szCs w:val="30"/>
          <w:lang w:val="en-US" w:eastAsia="zh-CN"/>
        </w:rPr>
      </w:pPr>
      <w:r>
        <w:rPr>
          <w:rFonts w:hint="eastAsia"/>
          <w:b/>
          <w:bCs/>
          <w:sz w:val="30"/>
          <w:szCs w:val="30"/>
          <w:lang w:val="en-US" w:eastAsia="zh-CN"/>
        </w:rPr>
        <w:t>北京沈瑞的国际展览有限公司 潘明（微信同号） 15210829645</w:t>
      </w:r>
    </w:p>
    <w:sectPr>
      <w:pgSz w:w="11910" w:h="16840"/>
      <w:pgMar w:top="60" w:right="560" w:bottom="280" w:left="5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4"/>
  </w:compat>
  <w:docVars>
    <w:docVar w:name="commondata" w:val="eyJoZGlkIjoiNzVmYWQ4ODQzNDI3NzA2OTYzZWZiZTM0Y2RmODEzMmUifQ=="/>
  </w:docVars>
  <w:rsids>
    <w:rsidRoot w:val="00000000"/>
    <w:rsid w:val="03D72E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character" w:default="1" w:styleId="4">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ind w:left="464"/>
    </w:pPr>
    <w:rPr>
      <w:rFonts w:ascii="宋体" w:hAnsi="宋体" w:eastAsia="宋体" w:cs="宋体"/>
      <w:sz w:val="24"/>
      <w:szCs w:val="24"/>
      <w:lang w:val="en-US" w:eastAsia="zh-CN" w:bidi="ar-SA"/>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zh-CN" w:bidi="ar-SA"/>
    </w:rPr>
  </w:style>
  <w:style w:type="paragraph" w:customStyle="1" w:styleId="7">
    <w:name w:val="Table Paragraph"/>
    <w:basedOn w:val="1"/>
    <w:qFormat/>
    <w:uiPriority w:val="1"/>
    <w:pPr>
      <w:spacing w:line="280" w:lineRule="exact"/>
      <w:ind w:left="108"/>
    </w:pPr>
    <w:rPr>
      <w:rFonts w:ascii="宋体" w:hAnsi="宋体" w:eastAsia="宋体" w:cs="宋体"/>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7"/>
    <customShpInfo spid="_x0000_s1028"/>
    <customShpInfo spid="_x0000_s1029"/>
    <customShpInfo spid="_x0000_s1026"/>
    <customShpInfo spid="_x0000_s1031"/>
    <customShpInfo spid="_x0000_s1032"/>
    <customShpInfo spid="_x0000_s1030"/>
    <customShpInfo spid="_x0000_s1034"/>
    <customShpInfo spid="_x0000_s1035"/>
    <customShpInfo spid="_x0000_s1033"/>
    <customShpInfo spid="_x0000_s1037"/>
    <customShpInfo spid="_x0000_s1038"/>
    <customShpInfo spid="_x0000_s1039"/>
    <customShpInfo spid="_x0000_s103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1486</Words>
  <Characters>1587</Characters>
  <TotalTime>60</TotalTime>
  <ScaleCrop>false</ScaleCrop>
  <LinksUpToDate>false</LinksUpToDate>
  <CharactersWithSpaces>1619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2023-02-16T04:19:00Z</dcterms:created>
  <dc:creator>Lenovo User</dc:creator>
  <cp:lastModifiedBy>盛瑞达</cp:lastModifiedBy>
  <dcterms:modified xsi:type="dcterms:W3CDTF">2023-02-16T05:23:20Z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2022-11-17T00:00:00Z</vt:filetime>
  </property>
  <property fmtid="{D5CDD505-2E9C-101B-9397-08002B2CF9AE}" pid="3" name="Creator">
    <vt:lpwstr>WPS 文字</vt:lpwstr>
  </property>
  <property fmtid="{D5CDD505-2E9C-101B-9397-08002B2CF9AE}" pid="4" name="LastSaved">
    <vt:filetime>2023-02-16T00:00:00Z</vt:filetime>
  </property>
  <property fmtid="{D5CDD505-2E9C-101B-9397-08002B2CF9AE}" pid="5" name="KSOProductBuildVer">
    <vt:lpwstr>2052-11.1.0.13703</vt:lpwstr>
  </property>
  <property fmtid="{D5CDD505-2E9C-101B-9397-08002B2CF9AE}" pid="6" name="ICV">
    <vt:lpwstr>8E60FCABAB804D06AA960C2E5138D96E</vt:lpwstr>
  </property>
</Properties>
</file>