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color w:val="333399"/>
          <w:spacing w:val="2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color w:val="333399"/>
          <w:spacing w:val="20"/>
          <w:sz w:val="44"/>
          <w:szCs w:val="44"/>
          <w:lang w:val="en-US" w:eastAsia="zh-CN"/>
        </w:rPr>
        <w:t>CCH2023社区经济连锁品牌投资展览会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240" w:firstLineChars="100"/>
        <w:jc w:val="center"/>
        <w:textAlignment w:val="auto"/>
        <w:outlineLvl w:val="9"/>
        <w:rPr>
          <w:rFonts w:hint="eastAsia" w:ascii="微软雅黑" w:hAnsi="微软雅黑" w:eastAsia="微软雅黑"/>
          <w:b/>
          <w:color w:val="333399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333399"/>
          <w:spacing w:val="0"/>
          <w:sz w:val="24"/>
          <w:szCs w:val="24"/>
          <w:u w:val="none" w:color="auto"/>
          <w:lang w:val="en-US" w:eastAsia="zh-CN"/>
        </w:rPr>
        <w:t xml:space="preserve">     CCH2023  community economy investment exhibition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1201" w:firstLineChars="500"/>
        <w:jc w:val="both"/>
        <w:textAlignment w:val="auto"/>
        <w:outlineLvl w:val="9"/>
        <w:rPr>
          <w:rFonts w:hint="eastAsia" w:ascii="微软雅黑" w:hAnsi="微软雅黑" w:eastAsia="微软雅黑"/>
          <w:b/>
          <w:color w:val="333399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color w:val="333399"/>
          <w:spacing w:val="0"/>
          <w:sz w:val="24"/>
          <w:szCs w:val="24"/>
          <w:lang w:val="en-US" w:eastAsia="zh-CN"/>
        </w:rPr>
        <w:t>同期：第31届广州博览会       CCH2023第12届国际餐饮连锁加盟展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微软雅黑" w:hAnsi="微软雅黑" w:eastAsia="微软雅黑"/>
          <w:b/>
          <w:color w:val="333399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color w:val="333399"/>
          <w:spacing w:val="0"/>
          <w:sz w:val="24"/>
          <w:szCs w:val="24"/>
          <w:lang w:val="en-US" w:eastAsia="zh-CN"/>
        </w:rPr>
        <w:t>时间：2023年8月25-27日       地点：广州·广交会展馆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color w:val="FF0000"/>
          <w:sz w:val="21"/>
          <w:szCs w:val="21"/>
          <w:lang w:val="en-US" w:eastAsia="zh-CN"/>
        </w:rPr>
      </w:pPr>
      <w:bookmarkStart w:id="0" w:name="OLE_LINK1"/>
      <w:r>
        <w:rPr>
          <w:rFonts w:hint="eastAsia" w:ascii="微软雅黑" w:hAnsi="微软雅黑" w:eastAsia="微软雅黑"/>
          <w:b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139700</wp:posOffset>
                </wp:positionV>
                <wp:extent cx="6219825" cy="7620"/>
                <wp:effectExtent l="0" t="6350" r="9525" b="1460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9825" cy="762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.5pt;margin-top:11pt;height:0.6pt;width:489.75pt;z-index:251659264;mso-width-relative:page;mso-height-relative:page;" filled="f" stroked="t" coordsize="21600,21600" o:gfxdata="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Wpg0fXAAAACAEAAA8AAAAAAAAAAQAgAAAAIgAAAGRycy9k&#10;b3ducmV2LnhtbFBLAQIUABQAAAAIAIdO4kCu+F/NAwIAAPIDAAAOAAAAAAAAAAEAIAAAACYBAABk&#10;cnMvZTJvRG9jLnhtbFBLBQYAAAAABgAGAFkBAACbBQAAAAA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rFonts w:hint="eastAsia" w:ascii="微软雅黑" w:hAnsi="微软雅黑" w:eastAsia="微软雅黑"/>
          <w:b/>
          <w:color w:val="808000"/>
          <w:spacing w:val="0"/>
          <w:sz w:val="21"/>
          <w:szCs w:val="21"/>
          <w:lang w:val="en-US" w:eastAsia="zh-CN"/>
        </w:rPr>
        <w:t xml:space="preserve">                                  </w:t>
      </w:r>
    </w:p>
    <w:p>
      <w:pPr>
        <w:spacing w:before="93" w:beforeLines="30" w:line="400" w:lineRule="exact"/>
        <w:jc w:val="both"/>
        <w:textAlignment w:val="baseline"/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微软雅黑" w:hAnsi="微软雅黑" w:eastAsia="微软雅黑"/>
          <w:b/>
          <w:sz w:val="44"/>
          <w:szCs w:val="44"/>
          <w:lang w:val="en-US" w:eastAsia="zh-CN"/>
        </w:rPr>
        <w:t xml:space="preserve">    </w:t>
      </w:r>
      <w:r>
        <w:rPr>
          <w:rFonts w:hint="eastAsia" w:ascii="微软雅黑" w:hAnsi="微软雅黑" w:eastAsia="微软雅黑"/>
          <w:b/>
          <w:color w:val="333399"/>
          <w:sz w:val="44"/>
          <w:szCs w:val="44"/>
        </w:rPr>
        <w:t>邀</w:t>
      </w:r>
      <w:r>
        <w:rPr>
          <w:rFonts w:ascii="微软雅黑" w:hAnsi="微软雅黑" w:eastAsia="微软雅黑"/>
          <w:b/>
          <w:color w:val="333399"/>
          <w:sz w:val="44"/>
          <w:szCs w:val="44"/>
        </w:rPr>
        <w:t xml:space="preserve">    </w:t>
      </w:r>
      <w:r>
        <w:rPr>
          <w:rFonts w:hint="eastAsia" w:ascii="微软雅黑" w:hAnsi="微软雅黑" w:eastAsia="微软雅黑"/>
          <w:b/>
          <w:color w:val="333399"/>
          <w:sz w:val="44"/>
          <w:szCs w:val="44"/>
        </w:rPr>
        <w:t>请</w:t>
      </w:r>
      <w:r>
        <w:rPr>
          <w:rFonts w:ascii="微软雅黑" w:hAnsi="微软雅黑" w:eastAsia="微软雅黑"/>
          <w:b/>
          <w:color w:val="333399"/>
          <w:sz w:val="44"/>
          <w:szCs w:val="44"/>
        </w:rPr>
        <w:t xml:space="preserve">   </w:t>
      </w:r>
      <w:r>
        <w:rPr>
          <w:rFonts w:hint="eastAsia" w:ascii="微软雅黑" w:hAnsi="微软雅黑" w:eastAsia="微软雅黑"/>
          <w:b/>
          <w:color w:val="333399"/>
          <w:sz w:val="44"/>
          <w:szCs w:val="44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color w:val="333399"/>
          <w:sz w:val="44"/>
          <w:szCs w:val="44"/>
        </w:rPr>
        <w:t>函</w:t>
      </w:r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  <w:lang w:val="en-US" w:eastAsia="zh-CN"/>
        </w:rPr>
        <w:t xml:space="preserve"> </w:t>
      </w:r>
    </w:p>
    <w:p>
      <w:pPr>
        <w:spacing w:before="93" w:beforeLines="30" w:line="400" w:lineRule="exact"/>
        <w:jc w:val="both"/>
        <w:textAlignment w:val="baseline"/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CN"/>
        </w:rPr>
        <w:t>主办单位：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/>
        </w:rPr>
        <w:t>广博会组委会、军创展览集团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9"/>
        <w:rPr>
          <w:rStyle w:val="6"/>
          <w:rFonts w:hint="eastAsia" w:ascii="微软雅黑" w:hAnsi="微软雅黑" w:eastAsia="微软雅黑" w:cs="微软雅黑"/>
          <w:b/>
          <w:bCs w:val="0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Style w:val="6"/>
          <w:rFonts w:hint="eastAsia" w:ascii="微软雅黑" w:hAnsi="微软雅黑" w:eastAsia="微软雅黑" w:cs="微软雅黑"/>
          <w:b/>
          <w:bCs w:val="0"/>
          <w:color w:val="auto"/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bCs w:val="0"/>
          <w:color w:val="auto"/>
          <w:sz w:val="28"/>
          <w:szCs w:val="28"/>
        </w:rPr>
        <w:t>【</w:t>
      </w:r>
      <w:r>
        <w:rPr>
          <w:rStyle w:val="6"/>
          <w:rFonts w:hint="eastAsia" w:ascii="微软雅黑" w:hAnsi="微软雅黑" w:eastAsia="微软雅黑" w:cs="微软雅黑"/>
          <w:b/>
          <w:bCs w:val="0"/>
          <w:color w:val="auto"/>
          <w:sz w:val="28"/>
          <w:szCs w:val="28"/>
          <w:lang w:val="en-US" w:eastAsia="zh-CN"/>
        </w:rPr>
        <w:t>展会介绍</w:t>
      </w:r>
      <w:r>
        <w:rPr>
          <w:rStyle w:val="6"/>
          <w:rFonts w:hint="eastAsia" w:ascii="微软雅黑" w:hAnsi="微软雅黑" w:eastAsia="微软雅黑" w:cs="微软雅黑"/>
          <w:b/>
          <w:bCs w:val="0"/>
          <w:color w:val="auto"/>
          <w:sz w:val="28"/>
          <w:szCs w:val="28"/>
        </w:rPr>
        <w:t>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作为中国乃至国际连锁领域专业盛会，CCH国际连锁加盟展览会（简称：CCH连锁展）始终坚持品牌发展之路。自2013年至今，CCH连锁展已为近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8300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个优质品牌布局全国乃至全球发展战略、提供深度扶持，超过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92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万人次与会参观考察，是备受餐饮投资创业者青睐的年度连锁加盟盛会。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在CCH强大创业者数据支持下，CCH社区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经济连锁品牌投资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展览会应运而生，在更加精准和深入的定位基础上，为品牌方和社区创业者构建一对一的高效对接桥梁，共享万亿级社区经济新秩序。社区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经济连锁品牌投资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展览会将分为春秋两季，分别在大湾区核心城深圳和国际商贸之都广州举办。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120015</wp:posOffset>
            </wp:positionV>
            <wp:extent cx="3276600" cy="2527300"/>
            <wp:effectExtent l="0" t="0" r="0" b="6350"/>
            <wp:wrapNone/>
            <wp:docPr id="4" name="图片 4" descr="137A3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37A346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104775</wp:posOffset>
            </wp:positionV>
            <wp:extent cx="3274060" cy="2546350"/>
            <wp:effectExtent l="0" t="0" r="2540" b="6350"/>
            <wp:wrapNone/>
            <wp:docPr id="3" name="图片 3" descr="14296000_a2636806198_p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4296000_a2636806198_plx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Style w:val="6"/>
          <w:rFonts w:hint="eastAsia" w:ascii="微软雅黑" w:hAnsi="微软雅黑" w:eastAsia="微软雅黑" w:cs="微软雅黑"/>
          <w:b/>
          <w:bCs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Style w:val="6"/>
          <w:rFonts w:hint="eastAsia" w:ascii="微软雅黑" w:hAnsi="微软雅黑" w:eastAsia="微软雅黑" w:cs="微软雅黑"/>
          <w:b/>
          <w:bCs w:val="0"/>
          <w:color w:val="auto"/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bCs w:val="0"/>
          <w:color w:val="auto"/>
          <w:sz w:val="28"/>
          <w:szCs w:val="28"/>
        </w:rPr>
        <w:t>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Style w:val="6"/>
          <w:rFonts w:hint="eastAsia" w:ascii="微软雅黑" w:hAnsi="微软雅黑" w:eastAsia="微软雅黑" w:cs="微软雅黑"/>
          <w:b/>
          <w:bCs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Style w:val="6"/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 w:val="0"/>
          <w:color w:val="auto"/>
          <w:sz w:val="28"/>
          <w:szCs w:val="28"/>
        </w:rPr>
        <w:t>【</w:t>
      </w:r>
      <w:r>
        <w:rPr>
          <w:rStyle w:val="6"/>
          <w:rFonts w:hint="eastAsia" w:ascii="微软雅黑" w:hAnsi="微软雅黑" w:eastAsia="微软雅黑" w:cs="微软雅黑"/>
          <w:b/>
          <w:bCs w:val="0"/>
          <w:color w:val="auto"/>
          <w:sz w:val="28"/>
          <w:szCs w:val="28"/>
          <w:lang w:val="en-US" w:eastAsia="zh-CN"/>
        </w:rPr>
        <w:t>CCH2023年度规划</w:t>
      </w:r>
      <w:r>
        <w:rPr>
          <w:rStyle w:val="6"/>
          <w:rFonts w:hint="eastAsia" w:ascii="微软雅黑" w:hAnsi="微软雅黑" w:eastAsia="微软雅黑" w:cs="微软雅黑"/>
          <w:b/>
          <w:bCs w:val="0"/>
          <w:color w:val="auto"/>
          <w:sz w:val="28"/>
          <w:szCs w:val="28"/>
        </w:rPr>
        <w:t>】</w:t>
      </w:r>
      <w:bookmarkStart w:id="1" w:name="_GoBack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textAlignment w:val="auto"/>
        <w:outlineLvl w:val="9"/>
        <w:rPr>
          <w:rStyle w:val="6"/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textAlignment w:val="auto"/>
        <w:outlineLvl w:val="9"/>
        <w:rPr>
          <w:rFonts w:hint="default" w:ascii="微软雅黑" w:hAnsi="微软雅黑" w:eastAsia="微软雅黑"/>
          <w:b/>
          <w:color w:val="333399"/>
          <w:spacing w:val="0"/>
          <w:sz w:val="24"/>
          <w:szCs w:val="24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同期举办：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CCH2023第12届国际餐饮连锁加盟展览会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1201" w:firstLineChars="500"/>
        <w:jc w:val="left"/>
        <w:textAlignment w:val="auto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第31届广州博览会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日期：2023年8月25-27日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地点：广州·广交会展馆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Style w:val="6"/>
          <w:rFonts w:hint="default" w:ascii="微软雅黑" w:hAnsi="微软雅黑" w:eastAsia="微软雅黑" w:cs="微软雅黑"/>
          <w:b/>
          <w:bCs w:val="0"/>
          <w:color w:val="auto"/>
          <w:sz w:val="28"/>
          <w:szCs w:val="28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/>
          <w:bCs w:val="0"/>
          <w:color w:val="auto"/>
          <w:sz w:val="28"/>
          <w:szCs w:val="28"/>
          <w:lang w:val="en-US" w:eastAsia="zh-CN"/>
        </w:rPr>
        <w:t>33000</w:t>
      </w:r>
      <w:r>
        <w:rPr>
          <w:rStyle w:val="6"/>
          <w:rFonts w:hint="eastAsia" w:ascii="微软雅黑" w:hAnsi="微软雅黑" w:eastAsia="微软雅黑" w:cs="微软雅黑"/>
          <w:b/>
          <w:bCs w:val="0"/>
          <w:color w:val="auto"/>
          <w:sz w:val="28"/>
          <w:szCs w:val="28"/>
          <w:vertAlign w:val="subscript"/>
          <w:lang w:val="en-US" w:eastAsia="zh-CN"/>
        </w:rPr>
        <w:t>（m</w:t>
      </w:r>
      <w:r>
        <w:rPr>
          <w:rStyle w:val="6"/>
          <w:rFonts w:hint="eastAsia" w:ascii="微软雅黑" w:hAnsi="微软雅黑" w:eastAsia="微软雅黑" w:cs="微软雅黑"/>
          <w:b/>
          <w:bCs w:val="0"/>
          <w:color w:val="auto"/>
          <w:sz w:val="28"/>
          <w:szCs w:val="28"/>
          <w:vertAlign w:val="superscript"/>
          <w:lang w:val="en-US" w:eastAsia="zh-CN"/>
        </w:rPr>
        <w:t>2</w:t>
      </w:r>
      <w:r>
        <w:rPr>
          <w:rStyle w:val="6"/>
          <w:rFonts w:hint="eastAsia" w:ascii="微软雅黑" w:hAnsi="微软雅黑" w:eastAsia="微软雅黑" w:cs="微软雅黑"/>
          <w:b/>
          <w:bCs w:val="0"/>
          <w:color w:val="auto"/>
          <w:sz w:val="28"/>
          <w:szCs w:val="28"/>
          <w:vertAlign w:val="subscript"/>
          <w:lang w:val="en-US" w:eastAsia="zh-CN"/>
        </w:rPr>
        <w:t>）</w:t>
      </w:r>
      <w:r>
        <w:rPr>
          <w:rStyle w:val="6"/>
          <w:rFonts w:hint="eastAsia" w:ascii="微软雅黑" w:hAnsi="微软雅黑" w:eastAsia="微软雅黑" w:cs="微软雅黑"/>
          <w:b/>
          <w:bCs w:val="0"/>
          <w:color w:val="auto"/>
          <w:sz w:val="28"/>
          <w:szCs w:val="28"/>
          <w:lang w:val="en-US" w:eastAsia="zh-CN"/>
        </w:rPr>
        <w:t xml:space="preserve">     800+</w:t>
      </w:r>
      <w:r>
        <w:rPr>
          <w:rStyle w:val="6"/>
          <w:rFonts w:hint="eastAsia" w:ascii="微软雅黑" w:hAnsi="微软雅黑" w:eastAsia="微软雅黑" w:cs="微软雅黑"/>
          <w:b/>
          <w:bCs w:val="0"/>
          <w:color w:val="auto"/>
          <w:sz w:val="28"/>
          <w:szCs w:val="28"/>
          <w:vertAlign w:val="subscript"/>
          <w:lang w:val="en-US" w:eastAsia="zh-CN"/>
        </w:rPr>
        <w:t>（个）</w:t>
      </w:r>
      <w:r>
        <w:rPr>
          <w:rStyle w:val="6"/>
          <w:rFonts w:hint="eastAsia" w:ascii="微软雅黑" w:hAnsi="微软雅黑" w:eastAsia="微软雅黑" w:cs="微软雅黑"/>
          <w:b/>
          <w:bCs w:val="0"/>
          <w:color w:val="auto"/>
          <w:sz w:val="28"/>
          <w:szCs w:val="28"/>
          <w:lang w:val="en-US" w:eastAsia="zh-CN"/>
        </w:rPr>
        <w:t xml:space="preserve">     1500+</w:t>
      </w:r>
      <w:r>
        <w:rPr>
          <w:rStyle w:val="6"/>
          <w:rFonts w:hint="eastAsia" w:ascii="微软雅黑" w:hAnsi="微软雅黑" w:eastAsia="微软雅黑" w:cs="微软雅黑"/>
          <w:b/>
          <w:bCs w:val="0"/>
          <w:color w:val="auto"/>
          <w:sz w:val="28"/>
          <w:szCs w:val="28"/>
          <w:vertAlign w:val="subscript"/>
          <w:lang w:val="en-US" w:eastAsia="zh-CN"/>
        </w:rPr>
        <w:t xml:space="preserve">（个）   </w:t>
      </w:r>
      <w:r>
        <w:rPr>
          <w:rStyle w:val="6"/>
          <w:rFonts w:hint="eastAsia" w:ascii="微软雅黑" w:hAnsi="微软雅黑" w:eastAsia="微软雅黑" w:cs="微软雅黑"/>
          <w:b/>
          <w:bCs w:val="0"/>
          <w:color w:val="auto"/>
          <w:sz w:val="28"/>
          <w:szCs w:val="28"/>
          <w:lang w:val="en-US" w:eastAsia="zh-CN"/>
        </w:rPr>
        <w:t xml:space="preserve">   80000+</w:t>
      </w:r>
      <w:r>
        <w:rPr>
          <w:rStyle w:val="6"/>
          <w:rFonts w:hint="eastAsia" w:ascii="微软雅黑" w:hAnsi="微软雅黑" w:eastAsia="微软雅黑" w:cs="微软雅黑"/>
          <w:b/>
          <w:bCs w:val="0"/>
          <w:color w:val="auto"/>
          <w:sz w:val="28"/>
          <w:szCs w:val="28"/>
          <w:vertAlign w:val="subscript"/>
          <w:lang w:val="en-US" w:eastAsia="zh-CN"/>
        </w:rPr>
        <w:t>（人次）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Style w:val="6"/>
          <w:rFonts w:hint="default" w:ascii="微软雅黑" w:hAnsi="微软雅黑" w:eastAsia="微软雅黑" w:cs="微软雅黑"/>
          <w:b/>
          <w:bCs w:val="0"/>
          <w:color w:val="auto"/>
          <w:sz w:val="28"/>
          <w:szCs w:val="28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/>
          <w:bCs w:val="0"/>
          <w:color w:val="auto"/>
          <w:sz w:val="28"/>
          <w:szCs w:val="28"/>
          <w:lang w:val="en-US" w:eastAsia="zh-CN"/>
        </w:rPr>
        <w:t>展会面积       品牌数量       展位数量       专业观众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Style w:val="6"/>
          <w:rFonts w:hint="eastAsia" w:ascii="微软雅黑" w:hAnsi="微软雅黑" w:eastAsia="微软雅黑" w:cs="微软雅黑"/>
          <w:b/>
          <w:bCs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Style w:val="6"/>
          <w:rFonts w:hint="eastAsia" w:ascii="微软雅黑" w:hAnsi="微软雅黑" w:eastAsia="微软雅黑" w:cs="微软雅黑"/>
          <w:b/>
          <w:bCs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Style w:val="6"/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 w:val="0"/>
          <w:color w:val="auto"/>
          <w:sz w:val="28"/>
          <w:szCs w:val="28"/>
        </w:rPr>
        <w:t>【</w:t>
      </w:r>
      <w:r>
        <w:rPr>
          <w:rStyle w:val="6"/>
          <w:rFonts w:hint="eastAsia" w:ascii="微软雅黑" w:hAnsi="微软雅黑" w:eastAsia="微软雅黑" w:cs="微软雅黑"/>
          <w:b/>
          <w:bCs w:val="0"/>
          <w:color w:val="auto"/>
          <w:sz w:val="28"/>
          <w:szCs w:val="28"/>
          <w:lang w:val="en-US" w:eastAsia="zh-CN"/>
        </w:rPr>
        <w:t>同期现场活动</w:t>
      </w:r>
      <w:r>
        <w:rPr>
          <w:rStyle w:val="6"/>
          <w:rFonts w:hint="eastAsia" w:ascii="微软雅黑" w:hAnsi="微软雅黑" w:eastAsia="微软雅黑" w:cs="微软雅黑"/>
          <w:b/>
          <w:bCs w:val="0"/>
          <w:color w:val="auto"/>
          <w:sz w:val="28"/>
          <w:szCs w:val="28"/>
        </w:rPr>
        <w:t>】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Style w:val="6"/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社区经济发展论坛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Style w:val="6"/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社区经济研讨会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3.粤港澳大湾区新社区经济产业峰会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60325</wp:posOffset>
            </wp:positionV>
            <wp:extent cx="6000750" cy="3747135"/>
            <wp:effectExtent l="0" t="0" r="0" b="5715"/>
            <wp:wrapNone/>
            <wp:docPr id="2" name="图片 2" descr="11384090_a2636806198_p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384090_a2636806198_plx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74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  <w:t>【十大核心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优势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  <w:t>】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先发优势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：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首个打造社区投资领域平台,聚焦最后1公里社区业态。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2.专业操盘：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餐饮连锁领域第一展全新升级,创始团队成员专业操盘。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3.品质保障：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高标准参展审核，确保与会品牌品质。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4.精准高效：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专业观众历经三层筛选，确保现场精准高效对接。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5.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政策支持：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政府推动、行业协会指导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6.创业数据库：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线上千万级关注度，累积800000创业者共享社区商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7.资本助力：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多家权威投资机构作为社区展项目投资观察员，为品牌投资插上腾飞的翅膀。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8.权威新媒体加持：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抖音本地生活权威加持，为企业开启和打通专业抖音传播渠道，与展会形成不同维度深度推广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9.社区大数据助阵：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国内最权威的商业选址大数据加持，帮助加盟商快速落地开店。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10.恰逢其时：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新冠疫情爆发以来，民生经济受到重创的同时，也是经济秩序极待优化重构的关键元年,天时地利人和均已达到最佳时机。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00" w:lineRule="exact"/>
        <w:ind w:right="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  <w:t>【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参展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  <w:t>范围】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餐饮连锁：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  <w:t>中式餐饮、西式餐饮、时尚饮品、特色名吃、熟食卤味、休闲零食等；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生活服务：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  <w:t>洗衣干洗、宠物护理、快递物流、家政服务、汽车美容、自动/无人售货、空气净化、家居家装、花店摄影、图文快印、医疗服务、养老服务、搬家服务、回收服务、共享服务、金融服务等；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母婴幼儿：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  <w:t>母婴店、月子中心、婴儿游泳馆、儿童乐园、月嫂、母婴护理、儿童玩具等；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社区零售：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  <w:t>生鲜、果蔬、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社区士多店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  <w:t>/超市、药店、眼镜店、数码产品、火锅食材店、酒水、茶等；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美容养生：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  <w:t>养生、皮肤管理、化妆品、头疗/养发、美甲/美睫、产后护理、纤体瘦身、美发/理发店等；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休闲娱乐：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  <w:t>KTV、电影院、健身房、渔具、真人体验类、VR全景、网咖/网吧等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  <w:t>【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观众来源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  <w:t>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Style w:val="6"/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000000"/>
          <w:spacing w:val="0"/>
          <w:sz w:val="24"/>
          <w:szCs w:val="24"/>
        </w:rPr>
        <w:t>●参观观众(有投资创业需求人群)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  <w:t>个体经营户、社区业主、企业白领、退休人员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  <w:t>创业青年、回乡转业人士、家庭主妇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  <w:t>物管企业人员、相关行业从业人员、省市区域代理商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Style w:val="6"/>
          <w:rFonts w:hint="default" w:ascii="微软雅黑" w:hAnsi="微软雅黑" w:eastAsia="微软雅黑" w:cs="微软雅黑"/>
          <w:b/>
          <w:bCs w:val="0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000000"/>
          <w:spacing w:val="0"/>
          <w:sz w:val="24"/>
          <w:szCs w:val="24"/>
        </w:rPr>
        <w:t>●</w:t>
      </w:r>
      <w:r>
        <w:rPr>
          <w:rStyle w:val="6"/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宣传推广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1、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  <w:t>拜访行业协会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，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  <w:t>召开新闻发布会,通过大众媒体宣传;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2、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  <w:t>CCH连锁加盟展10年超过的20万创业者到会参观，通过观众数据库群发短信邀请，客服一对一电话邀约, 5万个小区通知业主;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  <w:t xml:space="preserve">3 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、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  <w:t>业内领先的直播招商平台-大眼商机全程倾力支持;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  <w:t xml:space="preserve">4 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、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  <w:t>地铁、公交、停车场道闸、购物中心楼宇广告、小区护栏广告;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  <w:t>5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、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  <w:t>今日头条、抖音、快手、等网络平台重金宣传;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  <w:t>6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、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  <w:t>中国加盟网、全球加盟网、前景加盟网等500家行业媒体;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7、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  <w:t>城市大V推广(深圳L0OK.深圳吃喝玩乐、广州吃喝玩乐、广州生活情报、深圳全攻略、爱上佛山、玩味成都、花样大武汉、上海全攻略等等)百家粉丝量100万以上的微信公众号宣传;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Style w:val="6"/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  <w:t>8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、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  <w:t>本地宝、58同城、赶集网等50家本地生活服务垂直曝光。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00" w:lineRule="exact"/>
        <w:ind w:right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  <w:t>【参展费用】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00" w:lineRule="exact"/>
        <w:ind w:right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color w:val="auto"/>
          <w:sz w:val="28"/>
          <w:szCs w:val="28"/>
          <w:lang w:val="en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20955</wp:posOffset>
            </wp:positionV>
            <wp:extent cx="5932170" cy="1629410"/>
            <wp:effectExtent l="0" t="0" r="11430" b="8890"/>
            <wp:wrapTopAndBottom/>
            <wp:docPr id="7" name="图片 4" descr="C:\Users\Administrator\Desktop\微信图片_20211101175009.png微信图片_20211101175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C:\Users\Administrator\Desktop\微信图片_20211101175009.png微信图片_20211101175009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00" w:lineRule="exact"/>
        <w:ind w:right="0"/>
        <w:jc w:val="left"/>
        <w:textAlignment w:val="auto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00" w:lineRule="exact"/>
        <w:ind w:right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  <w:t>【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广告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  <w:t>费用】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color w:val="auto"/>
          <w:sz w:val="28"/>
          <w:szCs w:val="28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33020</wp:posOffset>
            </wp:positionV>
            <wp:extent cx="6005195" cy="800735"/>
            <wp:effectExtent l="0" t="0" r="14605" b="18415"/>
            <wp:wrapTopAndBottom/>
            <wp:docPr id="9" name="图片 6" descr="C:\Users\Administrator\Desktop\微信图片_20211101175022.png微信图片_20211101175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C:\Users\Administrator\Desktop\微信图片_20211101175022.png微信图片_2021110117502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519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★展会手提袋广告：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0000元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/1万个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★现场证件背面广告：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50000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元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/1万个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★证件挂绳广告：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0000元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/1万条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 xml:space="preserve">      ★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现场路演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/新品推介会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280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00元/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30分钟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★更多投放可向组委会索取资料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  <w:t>【参展流程】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填写《参展申请表》邮寄或传真至组织单位执行“先申请，先付款，先安排”的原则；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申请展位后需三个工作日内将参展费交至组织单位，逾期未支付的，所定展位将被取消；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根据《参展商手册》安排参展事宜（宾馆、运输、搭建、展具租赁、现场翻译等） 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"/>
        </w:rPr>
      </w:pPr>
      <w:r>
        <w:rPr>
          <w:rStyle w:val="6"/>
          <w:rFonts w:hint="eastAsia" w:ascii="微软雅黑" w:hAnsi="微软雅黑" w:eastAsia="微软雅黑" w:cs="微软雅黑"/>
          <w:color w:val="auto"/>
          <w:sz w:val="28"/>
          <w:szCs w:val="28"/>
        </w:rPr>
        <w:t>【</w:t>
      </w:r>
      <w:r>
        <w:rPr>
          <w:rFonts w:hint="eastAsia" w:ascii="微软雅黑" w:hAnsi="微软雅黑" w:eastAsia="微软雅黑" w:cs="微软雅黑"/>
          <w:b/>
          <w:bCs w:val="0"/>
          <w:color w:val="auto"/>
          <w:sz w:val="28"/>
          <w:szCs w:val="28"/>
          <w:lang w:eastAsia="zh-CN"/>
        </w:rPr>
        <w:t>组委会联络处</w:t>
      </w:r>
      <w:r>
        <w:rPr>
          <w:rStyle w:val="6"/>
          <w:rFonts w:hint="eastAsia" w:ascii="微软雅黑" w:hAnsi="微软雅黑" w:eastAsia="微软雅黑" w:cs="微软雅黑"/>
          <w:color w:val="auto"/>
          <w:sz w:val="28"/>
          <w:szCs w:val="28"/>
        </w:rPr>
        <w:t>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atLeast"/>
        <w:ind w:right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军创展览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  <w:lang w:eastAsia="zh-CN"/>
        </w:rPr>
        <w:t>电话：020-</w:t>
      </w: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  <w:lang w:val="en-US" w:eastAsia="zh-CN"/>
        </w:rPr>
        <w:t>8200 3189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  <w:lang w:eastAsia="zh-CN"/>
        </w:rPr>
        <w:t xml:space="preserve">手机：+86 (0) </w:t>
      </w: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  <w:lang w:val="en-US" w:eastAsia="zh-CN"/>
        </w:rPr>
        <w:t xml:space="preserve">13751547253（微信同号）    </w:t>
      </w: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  <w:lang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  <w:lang w:eastAsia="zh-CN"/>
        </w:rPr>
        <w:t>官网：</w:t>
      </w: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  <w:lang w:val="en-US" w:eastAsia="zh-CN"/>
        </w:rPr>
        <w:t>http://www.gzjc8888.com/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  <w:lang w:val="en-US" w:eastAsia="zh-CN"/>
        </w:rPr>
        <w:t>【参展费用】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  <w:lang w:val="en-US" w:eastAsia="zh-CN"/>
        </w:rPr>
        <w:t> 展位类别（规格）                                    展位价格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  <w:lang w:val="en-US" w:eastAsia="zh-CN"/>
        </w:rPr>
        <w:t>                                   国内（人民币）           国外（美元）          双开口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  <w:lang w:val="en-US" w:eastAsia="zh-CN"/>
        </w:rPr>
        <w:t>标准展位（规格：3M*3M)     RMB17800元/个         USD2742/个         加收1000元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  <w:lang w:val="en-US" w:eastAsia="zh-CN"/>
        </w:rPr>
        <w:t>光地展位（</w:t>
      </w:r>
      <w:r>
        <w:rPr>
          <w:rFonts w:hint="default" w:ascii="微软雅黑" w:hAnsi="微软雅黑" w:eastAsia="微软雅黑" w:cs="微软雅黑"/>
          <w:b w:val="0"/>
          <w:bCs/>
          <w:color w:val="auto"/>
          <w:kern w:val="0"/>
          <w:sz w:val="24"/>
          <w:szCs w:val="24"/>
          <w:lang w:val="en-US" w:eastAsia="zh-CN"/>
        </w:rPr>
        <w:t>36M</w:t>
      </w:r>
      <w:r>
        <w:rPr>
          <w:rFonts w:hint="default" w:ascii="微软雅黑" w:hAnsi="微软雅黑" w:eastAsia="微软雅黑" w:cs="微软雅黑"/>
          <w:b w:val="0"/>
          <w:bCs/>
          <w:color w:val="auto"/>
          <w:kern w:val="0"/>
          <w:sz w:val="24"/>
          <w:szCs w:val="24"/>
          <w:vertAlign w:val="superscript"/>
          <w:lang w:val="en-US" w:eastAsia="zh-CN"/>
        </w:rPr>
        <w:t>2</w:t>
      </w:r>
      <w:r>
        <w:rPr>
          <w:rFonts w:hint="default" w:ascii="微软雅黑" w:hAnsi="微软雅黑" w:eastAsia="微软雅黑" w:cs="微软雅黑"/>
          <w:b w:val="0"/>
          <w:bCs/>
          <w:color w:val="auto"/>
          <w:kern w:val="0"/>
          <w:sz w:val="24"/>
          <w:szCs w:val="24"/>
          <w:lang w:val="en-US" w:eastAsia="zh-CN"/>
        </w:rPr>
        <w:t>起租</w:t>
      </w: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  <w:lang w:val="en-US" w:eastAsia="zh-CN"/>
        </w:rPr>
        <w:t>）        RMB1680元/M</w:t>
      </w: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  <w:vertAlign w:val="superscript"/>
          <w:lang w:val="en-US" w:eastAsia="zh-CN"/>
        </w:rPr>
        <w:t>2 </w:t>
      </w: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  <w:lang w:val="en-US" w:eastAsia="zh-CN"/>
        </w:rPr>
        <w:t xml:space="preserve">         USD258.79/M</w:t>
      </w: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  <w:vertAlign w:val="superscript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  <w:lang w:val="en-US" w:eastAsia="zh-CN"/>
        </w:rPr>
        <w:t>      加收1000元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  <w:lang w:val="en-US" w:eastAsia="zh-CN"/>
        </w:rPr>
        <w:t>【广告收费】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  <w:lang w:val="en-US" w:eastAsia="zh-CN"/>
        </w:rPr>
        <w:t>会刊广告   封底          扉页    封二/封三   彩色内页   彩色跨版   黑白内容   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  <w:lang w:val="en-US" w:eastAsia="zh-CN"/>
        </w:rPr>
        <w:t>费用      20000元   12000元   10000元      5000元    8000元   3000元    800元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  <w:lang w:val="en-US" w:eastAsia="zh-CN"/>
        </w:rPr>
        <w:t>★展会手提袋广告：50000元/1万个    ★现场证件背面广告：50000元/1万个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  <w:lang w:val="en-US" w:eastAsia="zh-CN"/>
        </w:rPr>
        <w:t>★证件挂绳广告：20000元/1万条      ★现场路演/新品推介会：28000元/30分钟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48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380D28"/>
    <w:multiLevelType w:val="singleLevel"/>
    <w:tmpl w:val="06380D2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E063EFC"/>
    <w:multiLevelType w:val="singleLevel"/>
    <w:tmpl w:val="5E063EF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zNTBhMzA2YzFkMzlhNDA1NDZkODM4Yjk2N2UyYjIifQ=="/>
  </w:docVars>
  <w:rsids>
    <w:rsidRoot w:val="00000000"/>
    <w:rsid w:val="09584D24"/>
    <w:rsid w:val="0B816F52"/>
    <w:rsid w:val="0B8705C0"/>
    <w:rsid w:val="149B1526"/>
    <w:rsid w:val="1870398A"/>
    <w:rsid w:val="18DF52A0"/>
    <w:rsid w:val="1B4E7135"/>
    <w:rsid w:val="1DCB0BA6"/>
    <w:rsid w:val="1DE85867"/>
    <w:rsid w:val="1FF53342"/>
    <w:rsid w:val="21C730A0"/>
    <w:rsid w:val="23C541F1"/>
    <w:rsid w:val="244D3FE7"/>
    <w:rsid w:val="26A70C98"/>
    <w:rsid w:val="2CE87C4B"/>
    <w:rsid w:val="2F864E05"/>
    <w:rsid w:val="2FE34275"/>
    <w:rsid w:val="30690822"/>
    <w:rsid w:val="30D81900"/>
    <w:rsid w:val="319B706D"/>
    <w:rsid w:val="3347154A"/>
    <w:rsid w:val="39B47C96"/>
    <w:rsid w:val="3A1B2CD0"/>
    <w:rsid w:val="3A612300"/>
    <w:rsid w:val="3A695377"/>
    <w:rsid w:val="3C287CA4"/>
    <w:rsid w:val="3C2D7071"/>
    <w:rsid w:val="3C6E5FC8"/>
    <w:rsid w:val="3D0C046D"/>
    <w:rsid w:val="405C457D"/>
    <w:rsid w:val="40B6376E"/>
    <w:rsid w:val="421B1111"/>
    <w:rsid w:val="44657E77"/>
    <w:rsid w:val="45A134A9"/>
    <w:rsid w:val="4CD95838"/>
    <w:rsid w:val="53DB273B"/>
    <w:rsid w:val="545B3DC0"/>
    <w:rsid w:val="566C0543"/>
    <w:rsid w:val="59745039"/>
    <w:rsid w:val="59B5288F"/>
    <w:rsid w:val="5B961795"/>
    <w:rsid w:val="63A66B52"/>
    <w:rsid w:val="683041A5"/>
    <w:rsid w:val="6D8053E3"/>
    <w:rsid w:val="6E1F6045"/>
    <w:rsid w:val="71763215"/>
    <w:rsid w:val="72B81DA2"/>
    <w:rsid w:val="78383F1C"/>
    <w:rsid w:val="79BC4051"/>
    <w:rsid w:val="7C954E25"/>
    <w:rsid w:val="7EFC5DC0"/>
    <w:rsid w:val="7FAA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1918</Words>
  <Characters>2227</Characters>
  <Lines>0</Lines>
  <Paragraphs>0</Paragraphs>
  <TotalTime>7</TotalTime>
  <ScaleCrop>false</ScaleCrop>
  <LinksUpToDate>false</LinksUpToDate>
  <CharactersWithSpaces>2592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2021-06-17T01:11:00Z</dcterms:created>
  <dc:creator>Administrator</dc:creator>
  <cp:lastModifiedBy>Administrator</cp:lastModifiedBy>
  <dcterms:modified xsi:type="dcterms:W3CDTF">2023-04-01T02:58:53Z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8A152D60FAB242F8B867EF13825B49F1</vt:lpwstr>
  </property>
</Properties>
</file>