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Arial" w:hAnsi="Arial" w:cs="Arial"/>
          <w:color w:val="000000"/>
          <w:sz w:val="21"/>
          <w:szCs w:val="21"/>
        </w:rPr>
      </w:pPr>
      <w:r>
        <w:rPr>
          <w:rFonts w:ascii="Arial" w:hAnsi="Arial" w:cs="Arial"/>
          <w:b/>
          <w:bCs/>
          <w:color w:val="000000"/>
          <w:sz w:val="21"/>
          <w:szCs w:val="21"/>
        </w:rPr>
        <w:t>华南旗舰环保展—2023年中国环博会广州展与您相约！</w:t>
      </w:r>
    </w:p>
    <w:p>
      <w:pPr>
        <w:pStyle w:val="4"/>
        <w:ind w:firstLine="480"/>
        <w:rPr>
          <w:rFonts w:ascii="Arial" w:hAnsi="Arial" w:cs="Arial"/>
          <w:color w:val="000000"/>
          <w:sz w:val="21"/>
          <w:szCs w:val="21"/>
        </w:rPr>
      </w:pPr>
      <w:r>
        <w:rPr>
          <w:rFonts w:ascii="Arial" w:hAnsi="Arial" w:cs="Arial"/>
          <w:color w:val="000000"/>
          <w:sz w:val="21"/>
          <w:szCs w:val="21"/>
        </w:rPr>
        <w:t>自2017年“粤港澳大湾区建设”被写入国家政府工作报告之后，为华南环保市场带来了新机遇。随着湾区建设的逐步推进，华南地区生态环境治理市场迅猛扩容，区域内环保产业规模高速增长。捕捉大湾区市场机遇，已成为众多环保企业拓展业务的重要抓手。</w:t>
      </w:r>
    </w:p>
    <w:p>
      <w:pPr>
        <w:pStyle w:val="4"/>
        <w:ind w:firstLine="480"/>
        <w:rPr>
          <w:rFonts w:ascii="Arial" w:hAnsi="Arial" w:cs="Arial"/>
          <w:color w:val="000000"/>
          <w:sz w:val="21"/>
          <w:szCs w:val="21"/>
        </w:rPr>
      </w:pPr>
      <w:r>
        <w:rPr>
          <w:rFonts w:ascii="Arial" w:hAnsi="Arial" w:cs="Arial"/>
          <w:color w:val="000000"/>
          <w:sz w:val="21"/>
          <w:szCs w:val="21"/>
        </w:rPr>
        <w:t>第8届中国环博会广州展将于2023年9月20-22日在中国进出口商品交易会展馆举办，展会持续深耕华南市场、深挖大湾区生态需求，集中展示水、固废、大气、土壤污染全产业链解决方案，同期举办“华南生态环境创新技术大会”，结合技术展览与高端研讨，助力企业抢占粤港澳大湾区发展风口。</w:t>
      </w:r>
    </w:p>
    <w:p>
      <w:pPr>
        <w:pStyle w:val="4"/>
        <w:ind w:firstLine="480"/>
        <w:rPr>
          <w:rFonts w:ascii="Arial" w:hAnsi="Arial" w:cs="Arial"/>
          <w:color w:val="000000"/>
          <w:sz w:val="21"/>
          <w:szCs w:val="21"/>
        </w:rPr>
      </w:pPr>
      <w:r>
        <w:rPr>
          <w:rFonts w:ascii="Arial" w:hAnsi="Arial" w:cs="Arial"/>
          <w:color w:val="000000"/>
          <w:sz w:val="21"/>
          <w:szCs w:val="21"/>
        </w:rPr>
        <w:t>2021中国环博会广州展于</w:t>
      </w:r>
      <w:r>
        <w:rPr>
          <w:rFonts w:hint="eastAsia" w:ascii="Arial" w:hAnsi="Arial" w:cs="Arial"/>
          <w:color w:val="000000"/>
          <w:sz w:val="21"/>
          <w:szCs w:val="21"/>
          <w:lang w:val="en-US" w:eastAsia="zh-CN"/>
        </w:rPr>
        <w:t>2021年</w:t>
      </w:r>
      <w:bookmarkStart w:id="0" w:name="_GoBack"/>
      <w:bookmarkEnd w:id="0"/>
      <w:r>
        <w:rPr>
          <w:rFonts w:ascii="Arial" w:hAnsi="Arial" w:cs="Arial"/>
          <w:color w:val="000000"/>
          <w:sz w:val="21"/>
          <w:szCs w:val="21"/>
        </w:rPr>
        <w:t>9月17日在中国进出口商品交易会展馆圆满落幕。33,000平米展示空间共吸引了437家展商，18,155名专业观众到场参观。</w:t>
      </w:r>
    </w:p>
    <w:p>
      <w:pPr>
        <w:pStyle w:val="4"/>
        <w:ind w:firstLine="480"/>
        <w:rPr>
          <w:rFonts w:ascii="Arial" w:hAnsi="Arial" w:cs="Arial"/>
          <w:color w:val="000000"/>
          <w:sz w:val="21"/>
          <w:szCs w:val="21"/>
        </w:rPr>
      </w:pPr>
      <w:r>
        <w:rPr>
          <w:rFonts w:ascii="Arial" w:hAnsi="Arial" w:cs="Arial"/>
          <w:color w:val="000000"/>
          <w:sz w:val="21"/>
          <w:szCs w:val="21"/>
        </w:rPr>
        <w:t>作为全球系列环保展德国慕尼黑IFAT展的中国展，“中国环博会”深耕中国环保行业21年，自2000年始，每年一届在上海举办，至今已发展成为亚洲环保领军展会。2015年伊始，中国环博会与广东省环保产业协会合作，在广州设立子展——“中国环博会广州展”，与IFAT全球系列展共享全球展商、观众资源，为高速发展的华南环保产业提供一个高品质的专业平台来寻找新技术、新产品，交流发展经验并探讨有效解决方案。</w:t>
      </w:r>
    </w:p>
    <w:p>
      <w:pPr>
        <w:pStyle w:val="4"/>
        <w:ind w:firstLine="480"/>
        <w:rPr>
          <w:rFonts w:ascii="Arial" w:hAnsi="Arial" w:cs="Arial"/>
          <w:color w:val="000000"/>
          <w:sz w:val="21"/>
          <w:szCs w:val="21"/>
        </w:rPr>
      </w:pPr>
      <w:r>
        <w:rPr>
          <w:rFonts w:ascii="Arial" w:hAnsi="Arial" w:cs="Arial"/>
          <w:color w:val="000000"/>
          <w:sz w:val="21"/>
          <w:szCs w:val="21"/>
        </w:rPr>
        <w:t>随着粤港澳大湾区政策的落地推进，作为中国两大一线城市，广州、深圳这对相距仅100公里左右的超级城市，在“双城联动、比翼双飞”中正发挥着“乘数效应”，牵引带动粤港澳大湾区实现高质量发展。 </w:t>
      </w:r>
    </w:p>
    <w:p>
      <w:pPr>
        <w:pStyle w:val="4"/>
        <w:ind w:firstLine="480"/>
        <w:rPr>
          <w:rFonts w:ascii="Arial" w:hAnsi="Arial" w:cs="Arial"/>
          <w:color w:val="000000"/>
          <w:sz w:val="21"/>
          <w:szCs w:val="21"/>
        </w:rPr>
      </w:pPr>
      <w:r>
        <w:rPr>
          <w:rFonts w:ascii="Arial" w:hAnsi="Arial" w:cs="Arial"/>
          <w:b/>
          <w:bCs/>
          <w:color w:val="000000"/>
          <w:sz w:val="21"/>
          <w:szCs w:val="21"/>
        </w:rPr>
        <w:t>▼ 华南优质展示平台，35,000平米豪华展示规模</w:t>
      </w:r>
    </w:p>
    <w:p>
      <w:pPr>
        <w:pStyle w:val="4"/>
        <w:ind w:firstLine="480"/>
        <w:rPr>
          <w:rFonts w:ascii="Arial" w:hAnsi="Arial" w:cs="Arial"/>
          <w:color w:val="000000"/>
          <w:sz w:val="21"/>
          <w:szCs w:val="21"/>
        </w:rPr>
      </w:pPr>
      <w:r>
        <w:rPr>
          <w:rFonts w:ascii="Arial" w:hAnsi="Arial" w:cs="Arial"/>
          <w:b/>
          <w:bCs/>
          <w:color w:val="000000"/>
          <w:sz w:val="21"/>
          <w:szCs w:val="21"/>
        </w:rPr>
        <w:t>▼ 展品覆盖水、固废、大气、土壤环保全产业链</w:t>
      </w:r>
    </w:p>
    <w:p>
      <w:pPr>
        <w:pStyle w:val="4"/>
        <w:ind w:firstLine="480"/>
        <w:rPr>
          <w:rFonts w:ascii="Arial" w:hAnsi="Arial" w:cs="Arial"/>
          <w:color w:val="000000"/>
          <w:sz w:val="21"/>
          <w:szCs w:val="21"/>
        </w:rPr>
      </w:pPr>
      <w:r>
        <w:rPr>
          <w:rFonts w:ascii="Arial" w:hAnsi="Arial" w:cs="Arial"/>
          <w:b/>
          <w:bCs/>
          <w:color w:val="000000"/>
          <w:sz w:val="21"/>
          <w:szCs w:val="21"/>
        </w:rPr>
        <w:t>▼ 泛珠地区各省市环保主管部门倾情支持</w:t>
      </w:r>
    </w:p>
    <w:p>
      <w:pPr>
        <w:pStyle w:val="4"/>
        <w:ind w:firstLine="480"/>
        <w:rPr>
          <w:rFonts w:ascii="Arial" w:hAnsi="Arial" w:cs="Arial"/>
          <w:color w:val="000000"/>
          <w:sz w:val="21"/>
          <w:szCs w:val="21"/>
        </w:rPr>
      </w:pPr>
      <w:r>
        <w:rPr>
          <w:rFonts w:ascii="Arial" w:hAnsi="Arial" w:cs="Arial"/>
          <w:b/>
          <w:bCs/>
          <w:color w:val="000000"/>
          <w:sz w:val="21"/>
          <w:szCs w:val="21"/>
        </w:rPr>
        <w:t>▼ 市政、工业、农村终端用户全力邀请</w:t>
      </w:r>
    </w:p>
    <w:p>
      <w:pPr>
        <w:pStyle w:val="4"/>
        <w:ind w:firstLine="480"/>
        <w:rPr>
          <w:rFonts w:ascii="Arial" w:hAnsi="Arial" w:cs="Arial"/>
          <w:color w:val="000000"/>
          <w:sz w:val="21"/>
          <w:szCs w:val="21"/>
        </w:rPr>
      </w:pPr>
      <w:r>
        <w:rPr>
          <w:rFonts w:ascii="Arial" w:hAnsi="Arial" w:cs="Arial"/>
          <w:b/>
          <w:bCs/>
          <w:color w:val="000000"/>
          <w:sz w:val="21"/>
          <w:szCs w:val="21"/>
        </w:rPr>
        <w:t>▼ 同期高端交流论坛满足多方位参展需求</w:t>
      </w:r>
    </w:p>
    <w:p>
      <w:pPr>
        <w:pStyle w:val="4"/>
        <w:ind w:firstLine="480"/>
        <w:rPr>
          <w:rFonts w:ascii="Arial" w:hAnsi="Arial" w:cs="Arial"/>
          <w:b/>
          <w:bCs/>
          <w:color w:val="000000"/>
          <w:sz w:val="21"/>
          <w:szCs w:val="21"/>
        </w:rPr>
      </w:pPr>
      <w:r>
        <w:rPr>
          <w:rFonts w:ascii="Arial" w:hAnsi="Arial" w:cs="Arial"/>
          <w:b/>
          <w:bCs/>
          <w:color w:val="000000"/>
          <w:sz w:val="21"/>
          <w:szCs w:val="21"/>
        </w:rPr>
        <w:t>▼ 举办一对一商贸配对会实现供需对接</w:t>
      </w:r>
    </w:p>
    <w:p>
      <w:pPr>
        <w:pStyle w:val="4"/>
        <w:ind w:firstLine="480"/>
        <w:rPr>
          <w:rFonts w:ascii="Arial" w:hAnsi="Arial" w:cs="Arial"/>
          <w:color w:val="000000"/>
          <w:sz w:val="21"/>
          <w:szCs w:val="21"/>
        </w:rPr>
      </w:pPr>
      <w:r>
        <w:rPr>
          <w:rFonts w:ascii="Arial" w:hAnsi="Arial" w:cs="Arial"/>
          <w:b/>
          <w:bCs/>
          <w:color w:val="000000"/>
          <w:sz w:val="21"/>
          <w:szCs w:val="21"/>
        </w:rPr>
        <w:t>展品范围</w:t>
      </w:r>
    </w:p>
    <w:p>
      <w:pPr>
        <w:pStyle w:val="4"/>
        <w:ind w:firstLine="480"/>
        <w:rPr>
          <w:rFonts w:ascii="Arial" w:hAnsi="Arial" w:cs="Arial"/>
          <w:color w:val="000000"/>
          <w:sz w:val="21"/>
          <w:szCs w:val="21"/>
        </w:rPr>
      </w:pPr>
      <w:r>
        <w:rPr>
          <w:rFonts w:ascii="Arial" w:hAnsi="Arial" w:cs="Arial"/>
          <w:b/>
          <w:bCs/>
          <w:color w:val="000000"/>
          <w:sz w:val="21"/>
          <w:szCs w:val="21"/>
        </w:rPr>
        <w:t>水和污水处理：</w:t>
      </w:r>
      <w:r>
        <w:rPr>
          <w:rFonts w:ascii="Arial" w:hAnsi="Arial" w:cs="Arial"/>
          <w:color w:val="000000"/>
          <w:sz w:val="21"/>
          <w:szCs w:val="21"/>
        </w:rPr>
        <w:t>机械物理处理工艺；化学物理处理工艺；生化处理工艺膜法处理；污泥和残渣的处理；污泥和残渣的利用；沼气回收及再利用；成套装置；热量回收/发电和节能；</w:t>
      </w:r>
    </w:p>
    <w:p>
      <w:pPr>
        <w:pStyle w:val="4"/>
        <w:ind w:firstLine="480"/>
        <w:rPr>
          <w:rFonts w:ascii="Arial" w:hAnsi="Arial" w:cs="Arial"/>
          <w:color w:val="000000"/>
          <w:sz w:val="21"/>
          <w:szCs w:val="21"/>
        </w:rPr>
      </w:pPr>
      <w:r>
        <w:rPr>
          <w:rFonts w:ascii="Arial" w:hAnsi="Arial" w:cs="Arial"/>
          <w:b/>
          <w:bCs/>
          <w:color w:val="000000"/>
          <w:sz w:val="21"/>
          <w:szCs w:val="21"/>
        </w:rPr>
        <w:t>给水和排污系统：</w:t>
      </w:r>
      <w:r>
        <w:rPr>
          <w:rFonts w:ascii="Arial" w:hAnsi="Arial" w:cs="Arial"/>
          <w:color w:val="000000"/>
          <w:sz w:val="21"/>
          <w:szCs w:val="21"/>
        </w:rPr>
        <w:t>管道和管道配件；竖井和特殊结构；排水口；配件；密封装置；防腐蚀装置；维护和清洗；饮用水槽-建造与修复；</w:t>
      </w:r>
    </w:p>
    <w:p>
      <w:pPr>
        <w:pStyle w:val="4"/>
        <w:ind w:firstLine="480"/>
        <w:rPr>
          <w:rFonts w:ascii="Arial" w:hAnsi="Arial" w:cs="Arial"/>
          <w:color w:val="000000"/>
          <w:sz w:val="21"/>
          <w:szCs w:val="21"/>
        </w:rPr>
      </w:pPr>
      <w:r>
        <w:rPr>
          <w:rFonts w:ascii="Arial" w:hAnsi="Arial" w:cs="Arial"/>
          <w:b/>
          <w:bCs/>
          <w:color w:val="000000"/>
          <w:sz w:val="21"/>
          <w:szCs w:val="21"/>
        </w:rPr>
        <w:t>水资源管理中的机械工程和设备工程：</w:t>
      </w:r>
      <w:r>
        <w:rPr>
          <w:rFonts w:ascii="Arial" w:hAnsi="Arial" w:cs="Arial"/>
          <w:color w:val="000000"/>
          <w:sz w:val="21"/>
          <w:szCs w:val="21"/>
        </w:rPr>
        <w:t>泵和提升系统；过程测量和控制技术；机械装置和控制技术；电气装置；传输工程；其他装置和配件；</w:t>
      </w:r>
    </w:p>
    <w:p>
      <w:pPr>
        <w:pStyle w:val="4"/>
        <w:ind w:firstLine="480"/>
        <w:rPr>
          <w:rFonts w:ascii="Arial" w:hAnsi="Arial" w:cs="Arial"/>
          <w:color w:val="000000"/>
          <w:sz w:val="21"/>
          <w:szCs w:val="21"/>
        </w:rPr>
      </w:pPr>
      <w:r>
        <w:rPr>
          <w:rFonts w:ascii="Arial" w:hAnsi="Arial" w:cs="Arial"/>
          <w:b/>
          <w:bCs/>
          <w:color w:val="000000"/>
          <w:sz w:val="21"/>
          <w:szCs w:val="21"/>
        </w:rPr>
        <w:t>水利工程：</w:t>
      </w:r>
      <w:r>
        <w:rPr>
          <w:rFonts w:ascii="Arial" w:hAnsi="Arial" w:cs="Arial"/>
          <w:color w:val="000000"/>
          <w:sz w:val="21"/>
          <w:szCs w:val="21"/>
        </w:rPr>
        <w:t>水体保护、开发和维护；防洪与海岸防护；灌溉和排水技术；</w:t>
      </w:r>
    </w:p>
    <w:p>
      <w:pPr>
        <w:pStyle w:val="4"/>
        <w:ind w:firstLine="480"/>
        <w:rPr>
          <w:rFonts w:ascii="Arial" w:hAnsi="Arial" w:cs="Arial"/>
          <w:color w:val="000000"/>
          <w:sz w:val="21"/>
          <w:szCs w:val="21"/>
        </w:rPr>
      </w:pPr>
      <w:r>
        <w:rPr>
          <w:rFonts w:ascii="Arial" w:hAnsi="Arial" w:cs="Arial"/>
          <w:b/>
          <w:bCs/>
          <w:color w:val="000000"/>
          <w:sz w:val="21"/>
          <w:szCs w:val="21"/>
        </w:rPr>
        <w:t>垃圾管理和回收：</w:t>
      </w:r>
      <w:r>
        <w:rPr>
          <w:rFonts w:ascii="Arial" w:hAnsi="Arial" w:cs="Arial"/>
          <w:color w:val="000000"/>
          <w:sz w:val="21"/>
          <w:szCs w:val="21"/>
        </w:rPr>
        <w:t>垃圾收集和转运；运输车及车厢结构；垃圾处理和回收；生物处理和堆肥；垃圾填埋场；再生资源回收利用技术与装备；废料的处理与利用；工业固体废弃物的综合利用；劳动安全防护；</w:t>
      </w:r>
    </w:p>
    <w:p>
      <w:pPr>
        <w:pStyle w:val="4"/>
        <w:ind w:firstLine="480"/>
        <w:rPr>
          <w:rFonts w:ascii="Arial" w:hAnsi="Arial" w:cs="Arial"/>
          <w:color w:val="000000"/>
          <w:sz w:val="21"/>
          <w:szCs w:val="21"/>
        </w:rPr>
      </w:pPr>
      <w:r>
        <w:rPr>
          <w:rFonts w:ascii="Arial" w:hAnsi="Arial" w:cs="Arial"/>
          <w:b/>
          <w:bCs/>
          <w:color w:val="000000"/>
          <w:sz w:val="21"/>
          <w:szCs w:val="21"/>
        </w:rPr>
        <w:t>废弃物能源化及资源化：</w:t>
      </w:r>
      <w:r>
        <w:rPr>
          <w:rFonts w:ascii="Arial" w:hAnsi="Arial" w:cs="Arial"/>
          <w:color w:val="000000"/>
          <w:sz w:val="21"/>
          <w:szCs w:val="21"/>
        </w:rPr>
        <w:t>沼气装置与利用；垃圾焚烧；填埋气体的利用；畜禽废弃物的资源利用；餐厨垃圾资源化利用；生物质能源的利用与发电；</w:t>
      </w:r>
    </w:p>
    <w:p>
      <w:pPr>
        <w:pStyle w:val="4"/>
        <w:ind w:firstLine="480"/>
        <w:rPr>
          <w:rFonts w:ascii="Arial" w:hAnsi="Arial" w:cs="Arial"/>
          <w:color w:val="000000"/>
          <w:sz w:val="21"/>
          <w:szCs w:val="21"/>
        </w:rPr>
      </w:pPr>
      <w:r>
        <w:rPr>
          <w:rFonts w:ascii="Arial" w:hAnsi="Arial" w:cs="Arial"/>
          <w:b/>
          <w:bCs/>
          <w:color w:val="000000"/>
          <w:sz w:val="21"/>
          <w:szCs w:val="21"/>
        </w:rPr>
        <w:t>街道清洁与维护</w:t>
      </w:r>
    </w:p>
    <w:p>
      <w:pPr>
        <w:pStyle w:val="4"/>
        <w:ind w:firstLine="480"/>
        <w:rPr>
          <w:rFonts w:ascii="Arial" w:hAnsi="Arial" w:cs="Arial"/>
          <w:color w:val="000000"/>
          <w:sz w:val="21"/>
          <w:szCs w:val="21"/>
        </w:rPr>
      </w:pPr>
      <w:r>
        <w:rPr>
          <w:rFonts w:ascii="Arial" w:hAnsi="Arial" w:cs="Arial"/>
          <w:b/>
          <w:bCs/>
          <w:color w:val="000000"/>
          <w:sz w:val="21"/>
          <w:szCs w:val="21"/>
        </w:rPr>
        <w:t>场地与土壤修复：</w:t>
      </w:r>
      <w:r>
        <w:rPr>
          <w:rFonts w:ascii="Arial" w:hAnsi="Arial" w:cs="Arial"/>
          <w:color w:val="000000"/>
          <w:sz w:val="21"/>
          <w:szCs w:val="21"/>
        </w:rPr>
        <w:t>登记、评估和监测受污染的土壤和地下水；污染土壤的处理；土壤改良；污染地下水处理</w:t>
      </w:r>
    </w:p>
    <w:p>
      <w:pPr>
        <w:pStyle w:val="4"/>
        <w:ind w:firstLine="480"/>
        <w:rPr>
          <w:rFonts w:ascii="Arial" w:hAnsi="Arial" w:cs="Arial"/>
          <w:color w:val="000000"/>
          <w:sz w:val="21"/>
          <w:szCs w:val="21"/>
        </w:rPr>
      </w:pPr>
      <w:r>
        <w:rPr>
          <w:rFonts w:ascii="Arial" w:hAnsi="Arial" w:cs="Arial"/>
          <w:b/>
          <w:bCs/>
          <w:color w:val="000000"/>
          <w:sz w:val="21"/>
          <w:szCs w:val="21"/>
        </w:rPr>
        <w:t>大气污染治理,烟气净化和通风：</w:t>
      </w:r>
      <w:r>
        <w:rPr>
          <w:rFonts w:ascii="Arial" w:hAnsi="Arial" w:cs="Arial"/>
          <w:color w:val="000000"/>
          <w:sz w:val="21"/>
          <w:szCs w:val="21"/>
        </w:rPr>
        <w:t>除尘；挥发性有机物（VOCs)治理；脱硫、脱硝；多污染物协同治理；超低排放技术；除臭技术；</w:t>
      </w:r>
    </w:p>
    <w:p>
      <w:pPr>
        <w:pStyle w:val="4"/>
        <w:ind w:firstLine="480"/>
        <w:rPr>
          <w:rFonts w:ascii="Arial" w:hAnsi="Arial" w:cs="Arial"/>
          <w:color w:val="000000"/>
          <w:sz w:val="21"/>
          <w:szCs w:val="21"/>
        </w:rPr>
      </w:pPr>
      <w:r>
        <w:rPr>
          <w:rFonts w:ascii="Arial" w:hAnsi="Arial" w:cs="Arial"/>
          <w:b/>
          <w:bCs/>
          <w:color w:val="000000"/>
          <w:sz w:val="21"/>
          <w:szCs w:val="21"/>
        </w:rPr>
        <w:t>噪声与振动控制</w:t>
      </w:r>
    </w:p>
    <w:p>
      <w:pPr>
        <w:pStyle w:val="4"/>
        <w:ind w:firstLine="480"/>
        <w:rPr>
          <w:rFonts w:ascii="Arial" w:hAnsi="Arial" w:cs="Arial"/>
          <w:color w:val="000000"/>
          <w:sz w:val="21"/>
          <w:szCs w:val="21"/>
        </w:rPr>
      </w:pPr>
      <w:r>
        <w:rPr>
          <w:rFonts w:ascii="Arial" w:hAnsi="Arial" w:cs="Arial"/>
          <w:b/>
          <w:bCs/>
          <w:color w:val="000000"/>
          <w:sz w:val="21"/>
          <w:szCs w:val="21"/>
        </w:rPr>
        <w:t>环境监测与检测：</w:t>
      </w:r>
      <w:r>
        <w:rPr>
          <w:rFonts w:ascii="Arial" w:hAnsi="Arial" w:cs="Arial"/>
          <w:color w:val="000000"/>
          <w:sz w:val="21"/>
          <w:szCs w:val="21"/>
        </w:rPr>
        <w:t>分析和实验室技术；环境监测技术与装备；</w:t>
      </w:r>
    </w:p>
    <w:p>
      <w:pPr>
        <w:pStyle w:val="4"/>
        <w:ind w:firstLine="480"/>
        <w:rPr>
          <w:rFonts w:ascii="Arial" w:hAnsi="Arial" w:cs="Arial"/>
          <w:color w:val="000000"/>
          <w:sz w:val="21"/>
          <w:szCs w:val="21"/>
        </w:rPr>
      </w:pPr>
      <w:r>
        <w:rPr>
          <w:rFonts w:ascii="Arial" w:hAnsi="Arial" w:cs="Arial"/>
          <w:b/>
          <w:bCs/>
          <w:color w:val="000000"/>
          <w:sz w:val="21"/>
          <w:szCs w:val="21"/>
        </w:rPr>
        <w:t>环境服务：</w:t>
      </w:r>
      <w:r>
        <w:rPr>
          <w:rFonts w:ascii="Arial" w:hAnsi="Arial" w:cs="Arial"/>
          <w:color w:val="000000"/>
          <w:sz w:val="21"/>
          <w:szCs w:val="21"/>
        </w:rPr>
        <w:t>供水和污水处理服务；废弃物回收和处置服务；再生料供应商；区域、流域生态环境修复；第三方污染治理；咨询和工程服务；管理和组织咨询；专业平台与产业园区；信息技术；</w:t>
      </w:r>
    </w:p>
    <w:p>
      <w:pPr>
        <w:pStyle w:val="4"/>
        <w:ind w:firstLine="480"/>
        <w:rPr>
          <w:rFonts w:ascii="Arial" w:hAnsi="Arial" w:cs="Arial"/>
          <w:color w:val="000000"/>
          <w:sz w:val="21"/>
          <w:szCs w:val="21"/>
        </w:rPr>
      </w:pPr>
      <w:r>
        <w:rPr>
          <w:rFonts w:ascii="Arial" w:hAnsi="Arial" w:cs="Arial"/>
          <w:b/>
          <w:bCs/>
          <w:color w:val="000000"/>
          <w:sz w:val="21"/>
          <w:szCs w:val="21"/>
        </w:rPr>
        <w:t>教育、科研和技术转让：</w:t>
      </w:r>
      <w:r>
        <w:rPr>
          <w:rFonts w:ascii="Arial" w:hAnsi="Arial" w:cs="Arial"/>
          <w:color w:val="000000"/>
          <w:sz w:val="21"/>
          <w:szCs w:val="21"/>
        </w:rPr>
        <w:t>职业培训与继续培训；高校；研究机构；行业协会和机构；媒体；</w:t>
      </w:r>
    </w:p>
    <w:p>
      <w:pPr>
        <w:pStyle w:val="4"/>
        <w:ind w:firstLine="480"/>
        <w:rPr>
          <w:rFonts w:ascii="Arial" w:hAnsi="Arial" w:cs="Arial"/>
          <w:color w:val="000000"/>
          <w:sz w:val="21"/>
          <w:szCs w:val="21"/>
        </w:rPr>
      </w:pPr>
      <w:r>
        <w:rPr>
          <w:rStyle w:val="7"/>
          <w:rFonts w:ascii="Arial" w:hAnsi="Arial" w:cs="Arial"/>
          <w:color w:val="000000"/>
          <w:sz w:val="21"/>
          <w:szCs w:val="21"/>
        </w:rPr>
        <w:t>目标观众</w:t>
      </w:r>
    </w:p>
    <w:p>
      <w:pPr>
        <w:pStyle w:val="4"/>
        <w:ind w:firstLine="480"/>
        <w:rPr>
          <w:rFonts w:ascii="Arial" w:hAnsi="Arial" w:cs="Arial"/>
          <w:color w:val="000000"/>
          <w:sz w:val="21"/>
          <w:szCs w:val="21"/>
        </w:rPr>
      </w:pPr>
      <w:r>
        <w:rPr>
          <w:rFonts w:ascii="Arial" w:hAnsi="Arial" w:cs="Arial"/>
          <w:color w:val="000000"/>
          <w:sz w:val="21"/>
          <w:szCs w:val="21"/>
        </w:rPr>
        <w:t>市政观众：政府部门，设计院所，工程公司，自来水厂，垃圾焚烧电站，污水处理厂，垃圾填埋厂，垃圾回收站，环境监测站，其他</w:t>
      </w:r>
    </w:p>
    <w:p>
      <w:pPr>
        <w:pStyle w:val="4"/>
        <w:ind w:firstLine="480"/>
        <w:rPr>
          <w:rFonts w:ascii="Arial" w:hAnsi="Arial" w:cs="Arial"/>
          <w:color w:val="000000"/>
          <w:sz w:val="21"/>
          <w:szCs w:val="21"/>
        </w:rPr>
      </w:pPr>
      <w:r>
        <w:rPr>
          <w:rFonts w:ascii="Arial" w:hAnsi="Arial" w:cs="Arial"/>
          <w:color w:val="000000"/>
          <w:sz w:val="21"/>
          <w:szCs w:val="21"/>
        </w:rPr>
        <w:t>工业观众：能源/再生资源，电子/电器，冶金与金属加工，石油，化工，矿产，建材建筑，纺织印染，造纸印刷，食品饮料，制药，皮革，塑料橡胶，汽车制造，机械制造，其他</w:t>
      </w:r>
    </w:p>
    <w:p>
      <w:pPr>
        <w:pStyle w:val="4"/>
        <w:ind w:firstLine="480"/>
        <w:rPr>
          <w:rFonts w:ascii="Arial" w:hAnsi="Arial" w:cs="Arial"/>
          <w:color w:val="000000"/>
          <w:sz w:val="21"/>
          <w:szCs w:val="21"/>
        </w:rPr>
      </w:pPr>
      <w:r>
        <w:rPr>
          <w:rFonts w:ascii="Arial" w:hAnsi="Arial" w:cs="Arial"/>
          <w:color w:val="000000"/>
          <w:sz w:val="21"/>
          <w:szCs w:val="21"/>
        </w:rPr>
        <w:t>服务业观众：经销代理商，进出口贸易商，餐饮，酒店，医院，物业公司，园艺景观，房地产，软件信息，金融投，其他</w:t>
      </w:r>
    </w:p>
    <w:p>
      <w:pPr>
        <w:pStyle w:val="4"/>
        <w:ind w:firstLine="480"/>
        <w:rPr>
          <w:rFonts w:ascii="Arial" w:hAnsi="Arial" w:cs="Arial"/>
          <w:color w:val="000000"/>
          <w:sz w:val="21"/>
          <w:szCs w:val="21"/>
        </w:rPr>
      </w:pPr>
      <w:r>
        <w:rPr>
          <w:rFonts w:ascii="Arial" w:hAnsi="Arial" w:cs="Arial"/>
          <w:color w:val="000000"/>
          <w:sz w:val="21"/>
          <w:szCs w:val="21"/>
        </w:rPr>
        <w:t>农林牧渔：林业，种植业，畜牧业，渔业，农副产品加工</w:t>
      </w:r>
    </w:p>
    <w:p>
      <w:pPr>
        <w:pStyle w:val="4"/>
        <w:ind w:firstLine="480"/>
        <w:rPr>
          <w:rFonts w:ascii="Arial" w:hAnsi="Arial" w:cs="Arial"/>
          <w:color w:val="000000"/>
          <w:sz w:val="21"/>
          <w:szCs w:val="21"/>
        </w:rPr>
      </w:pPr>
      <w:r>
        <w:rPr>
          <w:rFonts w:ascii="Arial" w:hAnsi="Arial" w:cs="Arial"/>
          <w:color w:val="000000"/>
          <w:sz w:val="21"/>
          <w:szCs w:val="21"/>
        </w:rPr>
        <w:t>社会组织：科研机构，高校院所</w:t>
      </w:r>
    </w:p>
    <w:p>
      <w:pPr>
        <w:pStyle w:val="4"/>
        <w:ind w:firstLine="480"/>
        <w:rPr>
          <w:rFonts w:ascii="Arial" w:hAnsi="Arial" w:cs="Arial"/>
          <w:color w:val="000000"/>
          <w:sz w:val="21"/>
          <w:szCs w:val="21"/>
        </w:rPr>
      </w:pPr>
      <w:r>
        <w:rPr>
          <w:rFonts w:hint="eastAsia" w:cs="方正幼线简体"/>
          <w:b/>
          <w:bCs/>
          <w:szCs w:val="21"/>
        </w:rPr>
        <w:t>展会招商火热进行中，如有意参展，还望您尽快联系我们。提前预订即可享受光地主通道或标准双开位置！</w:t>
      </w:r>
    </w:p>
    <w:p>
      <w:pPr>
        <w:pStyle w:val="4"/>
        <w:ind w:firstLine="480"/>
        <w:rPr>
          <w:rFonts w:ascii="Arial" w:hAnsi="Arial" w:cs="Arial"/>
          <w:color w:val="000000"/>
          <w:sz w:val="21"/>
          <w:szCs w:val="21"/>
        </w:rPr>
      </w:pPr>
      <w:r>
        <w:rPr>
          <w:rFonts w:ascii="Arial" w:hAnsi="Arial" w:cs="Arial"/>
          <w:b/>
          <w:bCs/>
          <w:color w:val="000000"/>
          <w:sz w:val="21"/>
          <w:szCs w:val="21"/>
        </w:rPr>
        <w:t>参会请联系</w:t>
      </w:r>
    </w:p>
    <w:p>
      <w:pPr>
        <w:pStyle w:val="4"/>
        <w:ind w:firstLine="480"/>
        <w:rPr>
          <w:rFonts w:ascii="Arial" w:hAnsi="Arial" w:cs="Arial"/>
          <w:color w:val="000000"/>
          <w:sz w:val="21"/>
          <w:szCs w:val="21"/>
        </w:rPr>
      </w:pPr>
      <w:r>
        <w:rPr>
          <w:rFonts w:ascii="Arial" w:hAnsi="Arial" w:cs="Arial"/>
          <w:b/>
          <w:bCs/>
          <w:color w:val="000000"/>
          <w:sz w:val="21"/>
          <w:szCs w:val="21"/>
        </w:rPr>
        <w:t>闫菲女士 13162010227（微信）</w:t>
      </w:r>
    </w:p>
    <w:p>
      <w:pPr>
        <w:pStyle w:val="4"/>
        <w:ind w:firstLine="480"/>
        <w:rPr>
          <w:rFonts w:ascii="Arial" w:hAnsi="Arial" w:cs="Arial"/>
          <w:color w:val="000000"/>
          <w:sz w:val="21"/>
          <w:szCs w:val="21"/>
        </w:rPr>
      </w:pPr>
      <w:r>
        <w:rPr>
          <w:rFonts w:ascii="Arial" w:hAnsi="Arial" w:cs="Arial"/>
          <w:b/>
          <w:bCs/>
          <w:color w:val="000000"/>
          <w:sz w:val="21"/>
          <w:szCs w:val="21"/>
        </w:rPr>
        <w:t>邮箱：1140383585@qq.com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幼线简体">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wMGRlYjM5YzNmMDU4ZDc2YjdlNzQ1YmJkZDhiNjIifQ=="/>
  </w:docVars>
  <w:rsids>
    <w:rsidRoot w:val="00FC1713"/>
    <w:rsid w:val="000170EE"/>
    <w:rsid w:val="000A52A7"/>
    <w:rsid w:val="00256C3A"/>
    <w:rsid w:val="00371529"/>
    <w:rsid w:val="0068738F"/>
    <w:rsid w:val="006B6D51"/>
    <w:rsid w:val="00720D1D"/>
    <w:rsid w:val="007A3B4F"/>
    <w:rsid w:val="007F1F29"/>
    <w:rsid w:val="008D5BF8"/>
    <w:rsid w:val="00B60779"/>
    <w:rsid w:val="00B83472"/>
    <w:rsid w:val="00BA6A08"/>
    <w:rsid w:val="00BC46BD"/>
    <w:rsid w:val="00BD1808"/>
    <w:rsid w:val="00BD2413"/>
    <w:rsid w:val="00C36AB1"/>
    <w:rsid w:val="00C833D7"/>
    <w:rsid w:val="00CB79BB"/>
    <w:rsid w:val="00E23625"/>
    <w:rsid w:val="00EC0CD6"/>
    <w:rsid w:val="00F5597E"/>
    <w:rsid w:val="00FC1713"/>
    <w:rsid w:val="6FF4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6"/>
      <w:szCs w:val="16"/>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paragraph" w:customStyle="1" w:styleId="10">
    <w:name w:val="HTML Top of Form"/>
    <w:basedOn w:val="1"/>
    <w:next w:val="1"/>
    <w:link w:val="11"/>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6"/>
    <w:link w:val="10"/>
    <w:semiHidden/>
    <w:uiPriority w:val="99"/>
    <w:rPr>
      <w:rFonts w:ascii="Arial" w:hAnsi="Arial" w:eastAsia="宋体" w:cs="Arial"/>
      <w:vanish/>
      <w:kern w:val="0"/>
      <w:sz w:val="16"/>
      <w:szCs w:val="16"/>
    </w:rPr>
  </w:style>
  <w:style w:type="paragraph" w:customStyle="1" w:styleId="12">
    <w:name w:val="HTML Bottom of Form"/>
    <w:basedOn w:val="1"/>
    <w:next w:val="1"/>
    <w:link w:val="13"/>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3">
    <w:name w:val="z-窗体底端 Char"/>
    <w:basedOn w:val="6"/>
    <w:link w:val="12"/>
    <w:semiHidden/>
    <w:uiPriority w:val="99"/>
    <w:rPr>
      <w:rFonts w:ascii="Arial" w:hAnsi="Arial" w:eastAsia="宋体" w:cs="Arial"/>
      <w:vanish/>
      <w:kern w:val="0"/>
      <w:sz w:val="16"/>
      <w:szCs w:val="16"/>
    </w:rPr>
  </w:style>
  <w:style w:type="character" w:customStyle="1" w:styleId="14">
    <w:name w:val="批注框文本 Char"/>
    <w:basedOn w:val="6"/>
    <w:link w:val="3"/>
    <w:semiHidden/>
    <w:uiPriority w:val="99"/>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266</Words>
  <Characters>1521</Characters>
  <Lines>12</Lines>
  <Paragraphs>3</Paragraphs>
  <TotalTime>40</TotalTime>
  <ScaleCrop>false</ScaleCrop>
  <LinksUpToDate>false</LinksUpToDate>
  <CharactersWithSpaces>1784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2023-02-15T00:58:00Z</dcterms:created>
  <dc:creator>dreamsummit</dc:creator>
  <cp:lastModifiedBy>杨小欣。 ҉҉҉҉҉҉҉҉</cp:lastModifiedBy>
  <dcterms:modified xsi:type="dcterms:W3CDTF">2023-07-21T02:22:51Z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30E61CF8682C451EBA26581A58BA6EF9_12</vt:lpwstr>
  </property>
</Properties>
</file>