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新宋体"/>
          <w:sz w:val="36"/>
          <w:szCs w:val="36"/>
        </w:rPr>
      </w:pPr>
      <w:r>
        <w:rPr>
          <w:rFonts w:hint="eastAsia" w:ascii="新宋体" w:hAnsi="新宋体" w:eastAsia="新宋体" w:cs="新宋体"/>
          <w:sz w:val="36"/>
          <w:szCs w:val="36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36"/>
          <w:szCs w:val="36"/>
        </w:rPr>
        <w:t>202</w:t>
      </w:r>
      <w:r>
        <w:rPr>
          <w:rFonts w:hint="eastAsia" w:ascii="新宋体" w:hAnsi="新宋体" w:eastAsia="新宋体" w:cs="新宋体"/>
          <w:sz w:val="36"/>
          <w:szCs w:val="36"/>
          <w:lang w:val="en-US" w:eastAsia="zh-CN"/>
        </w:rPr>
        <w:t>3深圳大湾区</w:t>
      </w:r>
      <w:r>
        <w:rPr>
          <w:rFonts w:hint="eastAsia" w:ascii="新宋体" w:hAnsi="新宋体" w:eastAsia="新宋体" w:cs="新宋体"/>
          <w:sz w:val="36"/>
          <w:szCs w:val="36"/>
        </w:rPr>
        <w:t>国际新能源</w:t>
      </w:r>
      <w:r>
        <w:rPr>
          <w:rFonts w:hint="eastAsia" w:ascii="新宋体" w:hAnsi="新宋体" w:eastAsia="新宋体" w:cs="新宋体"/>
          <w:sz w:val="36"/>
          <w:szCs w:val="36"/>
          <w:lang w:eastAsia="zh-CN"/>
        </w:rPr>
        <w:t>专用车</w:t>
      </w:r>
      <w:r>
        <w:rPr>
          <w:rFonts w:hint="eastAsia" w:ascii="新宋体" w:hAnsi="新宋体" w:eastAsia="新宋体" w:cs="新宋体"/>
          <w:sz w:val="36"/>
          <w:szCs w:val="36"/>
          <w:lang w:val="en-US" w:eastAsia="zh-CN"/>
        </w:rPr>
        <w:t>及零部件</w:t>
      </w:r>
      <w:r>
        <w:rPr>
          <w:rFonts w:hint="eastAsia" w:ascii="新宋体" w:hAnsi="新宋体" w:eastAsia="新宋体" w:cs="新宋体"/>
          <w:sz w:val="36"/>
          <w:szCs w:val="36"/>
        </w:rPr>
        <w:t>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GBA International New Energy Special Vehicles and Parts Expo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2023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150" w:firstLineChars="150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93345</wp:posOffset>
                </wp:positionV>
                <wp:extent cx="5341620" cy="19685"/>
                <wp:effectExtent l="0" t="28575" r="11430" b="46990"/>
                <wp:wrapNone/>
                <wp:docPr id="1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1968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margin-left:-2.5pt;margin-top:7.35pt;height:1.55pt;width:420.6pt;z-index:251659264;mso-width-relative:page;mso-height-relative:page;" filled="f" stroked="t" coordsize="21600,21600" o:gfxdata="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WvhK1wAA&#10;AAgBAAAPAAAAAAAAAAEAIAAAACIAAABkcnMvZG93bnJldi54bWxQSwECFAAUAAAACACHTuJARBdP&#10;TOYBAADlAwAADgAAAAAAAAABACAAAAAmAQAAZHJzL2Uyb0RvYy54bWxQSwUGAAAAAAYABgBZAQAA&#10;fg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基本信息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日期：202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6日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深圳国际会展中心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宝安新馆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新宋体" w:hAnsi="新宋体" w:eastAsia="新宋体" w:cs="新宋体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组织机构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主办及战略合作单位：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广东省汽车行业协会               武汉市新能源汽车产业协会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国际汽车轻量化绿色科技联盟       海南省电动汽车与充电设施协会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肇庆市新能源汽车行业协会         中欧汽车材料委员会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 xml:space="preserve">中欧新能源智能汽车产业联合会     英佛会议展览（上海）有限公司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东莞市模具行业协会               中国汽车零部件电子电器发展中心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安徽省汽车行业协会               上海市粘接技术协会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安徽省汽车工程学会               四川省汽车工程学会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台湾区车辆工业同业公会           广西新能源汽车产业协会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 xml:space="preserve">盐城市汽车工程学会               盖世汽车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4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 xml:space="preserve">全球汽车科技网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承办单位：</w:t>
      </w:r>
      <w:r>
        <w:rPr>
          <w:rFonts w:hint="eastAsia" w:ascii="微软雅黑" w:hAnsi="微软雅黑" w:eastAsia="微软雅黑" w:cs="微软雅黑"/>
        </w:rPr>
        <w:t>英佛会议展览（上海）有限公司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展会介绍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 近些年来，因汽车工业产生的尾气排放导致大气污染等一系列负面效应出现，国家开始加大力度扶持新能源汽车产业发展。新能源汽车相比较传统燃油汽车能够有效降低汽车排放废气污染，有效解决交通能源重消耗的问题，实现低碳经济可持续发展，作为汽车大国的中国面临的环境问题日益严重，发展新能源汽车势在必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发展新能源专用车符合国情，也符合市场发展趋势。新能源专用车市场呈平稳快速发展态势，同时新能源专用车产品数量和企业数量快速增长，关键性能指标稳步提升，生命周期成本优势逐步显现，用户基本用车需求已能较好满足、电动化与智能网联化形成叠加效应，使新能源专用车持续健康发展的基础已较为坚实。随着新能源汽车行业的发展，工信部发布的《免征车辆购置税的新能源汽车车型目录》中包括多款新能源专用车型。随着蓝天保卫战的持续推进，未来新能源专用车市场将会快速提升，获得前所未有市场发展机遇，迎来新能源专用车发展春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珠三角作为新能源</w:t>
      </w:r>
      <w:r>
        <w:rPr>
          <w:rFonts w:hint="eastAsia" w:ascii="微软雅黑" w:hAnsi="微软雅黑" w:eastAsia="微软雅黑" w:cs="微软雅黑"/>
          <w:lang w:eastAsia="zh-CN"/>
        </w:rPr>
        <w:t>专用</w:t>
      </w:r>
      <w:r>
        <w:rPr>
          <w:rFonts w:hint="eastAsia" w:ascii="微软雅黑" w:hAnsi="微软雅黑" w:eastAsia="微软雅黑" w:cs="微软雅黑"/>
        </w:rPr>
        <w:t>车重点区域市场，是新能源</w:t>
      </w:r>
      <w:r>
        <w:rPr>
          <w:rFonts w:hint="eastAsia" w:ascii="微软雅黑" w:hAnsi="微软雅黑" w:eastAsia="微软雅黑" w:cs="微软雅黑"/>
          <w:lang w:eastAsia="zh-CN"/>
        </w:rPr>
        <w:t>专用</w:t>
      </w:r>
      <w:r>
        <w:rPr>
          <w:rFonts w:hint="eastAsia" w:ascii="微软雅黑" w:hAnsi="微软雅黑" w:eastAsia="微软雅黑" w:cs="微软雅黑"/>
        </w:rPr>
        <w:t>车“拓荒者”之一，在“双碳”目标、“十四五”现代综合交通运输体系发展规划、</w:t>
      </w:r>
      <w:r>
        <w:rPr>
          <w:rFonts w:hint="eastAsia" w:ascii="微软雅黑" w:hAnsi="微软雅黑" w:eastAsia="微软雅黑" w:cs="微软雅黑"/>
          <w:lang w:eastAsia="zh-CN"/>
        </w:rPr>
        <w:t>环卫、</w:t>
      </w:r>
      <w:r>
        <w:rPr>
          <w:rFonts w:hint="eastAsia" w:ascii="微软雅黑" w:hAnsi="微软雅黑" w:eastAsia="微软雅黑" w:cs="微软雅黑"/>
        </w:rPr>
        <w:t>绿色货运配送示范工程等顶层设计的引导下，珠三角将会进一步释放新能源</w:t>
      </w:r>
      <w:r>
        <w:rPr>
          <w:rFonts w:hint="eastAsia" w:ascii="微软雅黑" w:hAnsi="微软雅黑" w:eastAsia="微软雅黑" w:cs="微软雅黑"/>
          <w:lang w:eastAsia="zh-CN"/>
        </w:rPr>
        <w:t>专用</w:t>
      </w:r>
      <w:r>
        <w:rPr>
          <w:rFonts w:hint="eastAsia" w:ascii="微软雅黑" w:hAnsi="微软雅黑" w:eastAsia="微软雅黑" w:cs="微软雅黑"/>
        </w:rPr>
        <w:t>车需求，继续当好“排头兵”“桥头堡”“风向标”，节能减排，为打赢蓝天保卫战助力，为促进城市货运配送绿色集约发展做出更积极贡献。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 w:val="0"/>
          <w:bCs w:val="0"/>
        </w:rPr>
        <w:t>由英佛会展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集团</w:t>
      </w:r>
      <w:r>
        <w:rPr>
          <w:rFonts w:hint="eastAsia" w:ascii="微软雅黑" w:hAnsi="微软雅黑" w:eastAsia="微软雅黑" w:cs="微软雅黑"/>
          <w:b w:val="0"/>
          <w:bCs w:val="0"/>
        </w:rPr>
        <w:t>和广东省汽车行业协会以及相关行业组织共同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组织</w:t>
      </w:r>
      <w:r>
        <w:rPr>
          <w:rFonts w:hint="eastAsia" w:ascii="微软雅黑" w:hAnsi="微软雅黑" w:eastAsia="微软雅黑" w:cs="微软雅黑"/>
          <w:b w:val="0"/>
          <w:bCs w:val="0"/>
        </w:rPr>
        <w:t>的</w:t>
      </w:r>
      <w:r>
        <w:rPr>
          <w:rFonts w:hint="eastAsia" w:ascii="微软雅黑" w:hAnsi="微软雅黑" w:eastAsia="微软雅黑" w:cs="微软雅黑"/>
          <w:b/>
          <w:bCs/>
        </w:rPr>
        <w:t>202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</w:rPr>
        <w:t>大湾区国际新能源专用车及零部件展览会将于202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</w:rPr>
        <w:t>年12月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</w:rPr>
        <w:t>日-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</w:rPr>
        <w:t>日在深圳国际会展中心举行。</w:t>
      </w:r>
      <w:r>
        <w:rPr>
          <w:rFonts w:hint="eastAsia" w:ascii="微软雅黑" w:hAnsi="微软雅黑" w:eastAsia="微软雅黑" w:cs="微软雅黑"/>
        </w:rPr>
        <w:t>展会将围绕</w:t>
      </w:r>
      <w:r>
        <w:rPr>
          <w:rFonts w:hint="eastAsia" w:ascii="微软雅黑" w:hAnsi="微软雅黑" w:eastAsia="微软雅黑" w:cs="微软雅黑"/>
          <w:lang w:val="en-US" w:eastAsia="zh-CN"/>
        </w:rPr>
        <w:t>新能源汽车</w:t>
      </w:r>
      <w:r>
        <w:rPr>
          <w:rFonts w:hint="eastAsia" w:ascii="微软雅黑" w:hAnsi="微软雅黑" w:eastAsia="微软雅黑" w:cs="微软雅黑"/>
        </w:rPr>
        <w:t>产业化中的新产品、新技术、新装备、新工艺为主要展示内容，打造集“展示、商贸、学习、交流”为一体的全产业链覆盖，引领行业专业综合服务平台！打造高标准国际化的新能源</w:t>
      </w:r>
      <w:r>
        <w:rPr>
          <w:rFonts w:hint="eastAsia" w:ascii="微软雅黑" w:hAnsi="微软雅黑" w:eastAsia="微软雅黑" w:cs="微软雅黑"/>
          <w:lang w:val="en-US" w:eastAsia="zh-CN"/>
        </w:rPr>
        <w:t>专用车</w:t>
      </w:r>
      <w:r>
        <w:rPr>
          <w:rFonts w:hint="eastAsia" w:ascii="微软雅黑" w:hAnsi="微软雅黑" w:eastAsia="微软雅黑" w:cs="微软雅黑"/>
        </w:rPr>
        <w:t xml:space="preserve">生态圈。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为何参展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亚洲新能源</w:t>
      </w:r>
      <w:r>
        <w:rPr>
          <w:rFonts w:hint="eastAsia" w:ascii="微软雅黑" w:hAnsi="微软雅黑" w:eastAsia="微软雅黑" w:cs="微软雅黑"/>
          <w:lang w:val="en-US" w:eastAsia="zh-CN"/>
        </w:rPr>
        <w:t>专用</w:t>
      </w:r>
      <w:r>
        <w:rPr>
          <w:rFonts w:hint="eastAsia" w:ascii="微软雅黑" w:hAnsi="微软雅黑" w:eastAsia="微软雅黑" w:cs="微软雅黑"/>
        </w:rPr>
        <w:t>车行业盛事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数十年策展经验，高质量的服务和国际化标准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难以效仿的行业技能，众多专业组织协会支持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直面数万名高采购力专业买家，尊享定制化配对服务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360°立体品牌宣传，多渠道综合展示机会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全面洞悉行业前沿，高峰论坛&amp;活动精彩纷呈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行业交流平台，多渠道多模式深度融合交流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覆盖新能源汽车全产业链平台，助力产业交流互联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系列增值服务，市场推广，实现展前、中、后持续曝光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线上线下整合营销，助力提高品牌知名度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202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</w:rPr>
        <w:t>展会规模及影响力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</w:rPr>
        <w:t>展览总面积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预计</w:t>
      </w:r>
      <w:r>
        <w:rPr>
          <w:rFonts w:hint="eastAsia" w:ascii="微软雅黑" w:hAnsi="微软雅黑" w:eastAsia="微软雅黑" w:cs="微软雅黑"/>
          <w:b w:val="0"/>
          <w:bCs w:val="0"/>
        </w:rPr>
        <w:t>近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</w:rPr>
        <w:t>0,000平方米</w:t>
      </w: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</w:rPr>
        <w:t>展商总数量超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 w:val="0"/>
        </w:rPr>
        <w:t>00家</w:t>
      </w: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20场同期活动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</w:rPr>
        <w:t>来自60个国家和地区、超过30,000名专业观众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</w:rPr>
        <w:t>全球20多个国家和地区近300家行业合作媒体全面推广、全程报道，尊享国际品牌展会影响力</w:t>
      </w: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</w:rPr>
        <w:t>获得众多国内外行业组织及协会全程协助展会筹办并提供独到见解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同期举办: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bCs w:val="0"/>
        </w:rPr>
        <w:t>第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 w:val="0"/>
          <w:bCs w:val="0"/>
        </w:rPr>
        <w:t>届大湾区国际汽车创新技术周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bCs w:val="0"/>
        </w:rPr>
        <w:t>第十届深圳国际（大湾区）智能座舱与自动驾驶技术创新应用展览会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bCs w:val="0"/>
        </w:rPr>
        <w:t>大湾区国际充电桩及换电技术展览会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bCs w:val="0"/>
        </w:rPr>
        <w:t>大湾区国际新能源汽车动力电池创新技术产品展览会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</w:rPr>
        <w:t>第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十一届</w:t>
      </w:r>
      <w:r>
        <w:rPr>
          <w:rFonts w:hint="eastAsia" w:ascii="微软雅黑" w:hAnsi="微软雅黑" w:eastAsia="微软雅黑" w:cs="微软雅黑"/>
          <w:b w:val="0"/>
          <w:bCs w:val="0"/>
        </w:rPr>
        <w:t>大湾区新能源汽车技术与供应链展览会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VIP买家/行业用户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highlight w:val="none"/>
        </w:rPr>
        <w:t>1、重点邀请车辆使用单位：机场、港口、矿山、公交、客运、物流、出租、环卫中心、邮政、各市县环卫局、园林局、分时租赁、共享出行企业城投</w:t>
      </w:r>
      <w:r>
        <w:rPr>
          <w:rFonts w:hint="eastAsia" w:ascii="微软雅黑" w:hAnsi="微软雅黑" w:eastAsia="微软雅黑" w:cs="微软雅黑"/>
          <w:b w:val="0"/>
          <w:bCs w:val="0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highlight w:val="none"/>
        </w:rPr>
        <w:t>环卫服务公司、清洗保洁公司、大型物业公司、工业园区、市政工程公司等</w:t>
      </w:r>
      <w: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  <w:t>政府相关单位负责人到</w:t>
      </w:r>
      <w:r>
        <w:rPr>
          <w:rFonts w:hint="eastAsia" w:ascii="微软雅黑" w:hAnsi="微软雅黑" w:eastAsia="微软雅黑" w:cs="微软雅黑"/>
          <w:b w:val="0"/>
          <w:bCs w:val="0"/>
          <w:highlight w:val="none"/>
        </w:rPr>
        <w:t>会参观采购;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highlight w:val="none"/>
        </w:rPr>
        <w:t>2、重点邀请：快递物流业、物流旅游、物流服务与仓储地产、物流供应链、交通运输、物流园区、邮政业、港口、冷链物流、城市配送、中转站、快递网点、第三方物流、城市商贸物流企业、物流园区、新零售、生物产业、医药工业、疫苗、制造业、现代农业、农林牧渔、汽车电子、健康养老、能源化工、装备制造等多个行业的企业代表、人员及国内外贸易组织、研究所和大学、科研机构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highlight w:val="yellow"/>
        </w:rPr>
      </w:pPr>
      <w: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 w:val="0"/>
          <w:highlight w:val="none"/>
        </w:rPr>
        <w:t>邀请新能源汽车运营企业、新能源汽车主机厂、代理商、经销商、配套及关键零部件企业等与会现场参观采购；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展品范围：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/>
          <w:bCs/>
        </w:rPr>
        <w:t>新能源物流车：</w:t>
      </w:r>
      <w:r>
        <w:rPr>
          <w:rFonts w:hint="eastAsia" w:ascii="微软雅黑" w:hAnsi="微软雅黑" w:eastAsia="微软雅黑" w:cs="微软雅黑"/>
          <w:b w:val="0"/>
          <w:bCs w:val="0"/>
        </w:rPr>
        <w:t>纯电动物流运输车、氢燃料物流车、纯电动厢式货车、纯电动邮政物流车、纯电动冷藏物流车、纯电动专用车、电动牵引车、大、中、轻型客车</w:t>
      </w: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</w:rPr>
        <w:t>电动物流车融资租赁等；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/>
          <w:bCs/>
        </w:rPr>
        <w:t>新能源商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用</w:t>
      </w:r>
      <w:r>
        <w:rPr>
          <w:rFonts w:hint="eastAsia" w:ascii="微软雅黑" w:hAnsi="微软雅黑" w:eastAsia="微软雅黑" w:cs="微软雅黑"/>
          <w:b/>
          <w:bCs/>
        </w:rPr>
        <w:t>车:</w:t>
      </w:r>
      <w:r>
        <w:rPr>
          <w:rFonts w:hint="eastAsia" w:ascii="微软雅黑" w:hAnsi="微软雅黑" w:eastAsia="微软雅黑" w:cs="微软雅黑"/>
          <w:b w:val="0"/>
          <w:bCs w:val="0"/>
        </w:rPr>
        <w:t>纯电动客车/公交车、纯电动物流车、纯电动环卫车、纯电动卡车/货车、 （工程用车：工程车自卸车、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搅拌车、</w:t>
      </w:r>
      <w:r>
        <w:rPr>
          <w:rFonts w:hint="eastAsia" w:ascii="微软雅黑" w:hAnsi="微软雅黑" w:eastAsia="微软雅黑" w:cs="微软雅黑"/>
          <w:b w:val="0"/>
          <w:bCs w:val="0"/>
        </w:rPr>
        <w:t>渣土车、矿用载重车、罐体运输车、）旅游观光车、智能驾驶客车、无人驾驶汽车、旅游客车、公路客运客车、校车、房车、小型电动客车、氢能商用车、天然气商用车等。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新能源环卫车：</w:t>
      </w:r>
      <w:r>
        <w:rPr>
          <w:rFonts w:hint="eastAsia" w:ascii="微软雅黑" w:hAnsi="微软雅黑" w:eastAsia="微软雅黑" w:cs="微软雅黑"/>
          <w:lang w:val="en-US" w:eastAsia="zh-CN"/>
        </w:rPr>
        <w:t>扫路车、洒水车、除雪车、吸污车、洗扫车、抑尘车、垃圾压缩转运车、渣士车、餐厨车、多功能高压清洗车、吸粪车、保洁车、清障车、吸尘车、扫地机、清洗机、扫地车、绿化消防两用车、环卫绿化两用车、多功能垃圾车等;</w:t>
      </w:r>
      <w:r>
        <w:rPr>
          <w:rFonts w:hint="eastAsia" w:ascii="微软雅黑" w:hAnsi="微软雅黑" w:eastAsia="微软雅黑" w:cs="微软雅黑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相关</w:t>
      </w:r>
      <w:r>
        <w:rPr>
          <w:rFonts w:hint="eastAsia" w:ascii="微软雅黑" w:hAnsi="微软雅黑" w:eastAsia="微软雅黑" w:cs="微软雅黑"/>
          <w:b/>
          <w:bCs/>
        </w:rPr>
        <w:t>零部件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及配套产品</w:t>
      </w:r>
      <w:r>
        <w:rPr>
          <w:rFonts w:hint="eastAsia" w:ascii="微软雅黑" w:hAnsi="微软雅黑" w:eastAsia="微软雅黑" w:cs="微软雅黑"/>
          <w:b/>
          <w:bCs/>
        </w:rPr>
        <w:t>：</w:t>
      </w:r>
      <w:r>
        <w:rPr>
          <w:rFonts w:hint="eastAsia" w:ascii="微软雅黑" w:hAnsi="微软雅黑" w:eastAsia="微软雅黑" w:cs="微软雅黑"/>
          <w:lang w:val="en-US" w:eastAsia="zh-CN"/>
        </w:rPr>
        <w:t>新能源汽车专用底盘件、</w:t>
      </w:r>
      <w:r>
        <w:rPr>
          <w:rFonts w:hint="eastAsia" w:ascii="微软雅黑" w:hAnsi="微软雅黑" w:eastAsia="微软雅黑" w:cs="微软雅黑"/>
        </w:rPr>
        <w:t>发动机、底盘、变速箱、轮胎及轮毂、车桥、车厢、驱动和制动系统、传动装置、ABS及安全装置、控制系统、车载GPS 系统、液压件、齿轮轴承、空调、内饰动力电池、动力电池与管理系统；燃料电池、混合动力系统、驱动电机、整车总线与控制系统；电机与电控系统；连接系统；电线电缆；充电装置；储能装置等；能源管理系统；电桩、充/换电站，氢燃料电池、加氢站，天然气装置、天然气加气站</w:t>
      </w:r>
      <w:r>
        <w:rPr>
          <w:rFonts w:hint="eastAsia" w:ascii="微软雅黑" w:hAnsi="微软雅黑" w:eastAsia="微软雅黑" w:cs="微软雅黑"/>
          <w:lang w:eastAsia="zh-CN"/>
        </w:rPr>
        <w:t>、</w:t>
      </w:r>
      <w:r>
        <w:rPr>
          <w:rFonts w:hint="eastAsia" w:ascii="微软雅黑" w:hAnsi="微软雅黑" w:eastAsia="微软雅黑" w:cs="微软雅黑"/>
        </w:rPr>
        <w:t>电力电容器、飞轮、逆变器、电热泵、电动助力转向、电动空调、功率模块等相关材料、工艺、技术</w:t>
      </w:r>
      <w:r>
        <w:rPr>
          <w:rFonts w:hint="eastAsia" w:ascii="微软雅黑" w:hAnsi="微软雅黑" w:eastAsia="微软雅黑" w:cs="微软雅黑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标准展位：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(3M×3M)展位(包括三面围板、楣板、一桌二椅、220V电源插座、清洁费等)。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新宋体" w:hAnsi="新宋体" w:eastAsia="新宋体" w:cs="新宋体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空地：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不包括任何配套设施，需要者另行租用。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新技术发布会、新产品推广会，专题研讨会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企业如需安排此类活动，请及时向大会组委会联络，以便安排较好时间段。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每场收费25,000元RMB，时间为30分钟（含场地各类配套设施、宣传费用等）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敬请及时与我们沟通联络，获取最新展会信息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邮 箱：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instrText xml:space="preserve"> HYPERLINK "mailto:646784014@qq.com" </w:instrTex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646784014@qq.com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网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址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：www.jsz-expo.com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联系人：张先生13761260098（同微信）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ViYzZlMDE4NGQxZTczZWNjNGZlYThmM2QxZWUifQ=="/>
  </w:docVars>
  <w:rsids>
    <w:rsidRoot w:val="00000000"/>
    <w:rsid w:val="00381040"/>
    <w:rsid w:val="00F932B9"/>
    <w:rsid w:val="01747E56"/>
    <w:rsid w:val="018C3377"/>
    <w:rsid w:val="043930E0"/>
    <w:rsid w:val="05241B93"/>
    <w:rsid w:val="055E6E53"/>
    <w:rsid w:val="05D62E8D"/>
    <w:rsid w:val="064950D2"/>
    <w:rsid w:val="07AA6969"/>
    <w:rsid w:val="08B0799A"/>
    <w:rsid w:val="08F90CA5"/>
    <w:rsid w:val="0925023C"/>
    <w:rsid w:val="0B952F4D"/>
    <w:rsid w:val="0BCF0AAA"/>
    <w:rsid w:val="0C4D19CF"/>
    <w:rsid w:val="0E083E00"/>
    <w:rsid w:val="0E7476E7"/>
    <w:rsid w:val="0EB32C84"/>
    <w:rsid w:val="0F1467D4"/>
    <w:rsid w:val="0F1E51BC"/>
    <w:rsid w:val="0F35216A"/>
    <w:rsid w:val="109202F8"/>
    <w:rsid w:val="10E2557C"/>
    <w:rsid w:val="10F7603C"/>
    <w:rsid w:val="121E6814"/>
    <w:rsid w:val="12CA3A2C"/>
    <w:rsid w:val="142E6621"/>
    <w:rsid w:val="15BA6327"/>
    <w:rsid w:val="15C26F8A"/>
    <w:rsid w:val="16734728"/>
    <w:rsid w:val="16AB5C70"/>
    <w:rsid w:val="16B56AEF"/>
    <w:rsid w:val="175E2CE2"/>
    <w:rsid w:val="17E94CA2"/>
    <w:rsid w:val="19C86B39"/>
    <w:rsid w:val="1C6B037B"/>
    <w:rsid w:val="1CF127FA"/>
    <w:rsid w:val="1DD957B9"/>
    <w:rsid w:val="1E65526E"/>
    <w:rsid w:val="1F494278"/>
    <w:rsid w:val="1F7C63FB"/>
    <w:rsid w:val="20C77B4A"/>
    <w:rsid w:val="20EE50D7"/>
    <w:rsid w:val="213261B1"/>
    <w:rsid w:val="228026A7"/>
    <w:rsid w:val="22E52653"/>
    <w:rsid w:val="235C6A32"/>
    <w:rsid w:val="24303C58"/>
    <w:rsid w:val="250550E5"/>
    <w:rsid w:val="253F4153"/>
    <w:rsid w:val="26311CB5"/>
    <w:rsid w:val="26A21C51"/>
    <w:rsid w:val="26A34BB6"/>
    <w:rsid w:val="27716887"/>
    <w:rsid w:val="277F117F"/>
    <w:rsid w:val="28537F15"/>
    <w:rsid w:val="29293D43"/>
    <w:rsid w:val="29F51284"/>
    <w:rsid w:val="2BFA0DD4"/>
    <w:rsid w:val="2D3E258B"/>
    <w:rsid w:val="2F854E58"/>
    <w:rsid w:val="304A60A2"/>
    <w:rsid w:val="31B5579D"/>
    <w:rsid w:val="32907418"/>
    <w:rsid w:val="34B166F0"/>
    <w:rsid w:val="350E769E"/>
    <w:rsid w:val="371371EE"/>
    <w:rsid w:val="38BF49C8"/>
    <w:rsid w:val="38EE7F12"/>
    <w:rsid w:val="39FE23D7"/>
    <w:rsid w:val="3A10210A"/>
    <w:rsid w:val="3AF410E4"/>
    <w:rsid w:val="3B906C5F"/>
    <w:rsid w:val="3F9F3D14"/>
    <w:rsid w:val="41872EF7"/>
    <w:rsid w:val="425F25BC"/>
    <w:rsid w:val="43012D1C"/>
    <w:rsid w:val="45091C30"/>
    <w:rsid w:val="46AB7443"/>
    <w:rsid w:val="4832149E"/>
    <w:rsid w:val="49920446"/>
    <w:rsid w:val="49B71675"/>
    <w:rsid w:val="4A3B288C"/>
    <w:rsid w:val="4BA6385F"/>
    <w:rsid w:val="4C2C2DD4"/>
    <w:rsid w:val="4DAC0F3C"/>
    <w:rsid w:val="4DBB36A2"/>
    <w:rsid w:val="4FDB48F5"/>
    <w:rsid w:val="51770FA6"/>
    <w:rsid w:val="518A5306"/>
    <w:rsid w:val="52691F60"/>
    <w:rsid w:val="52DB4C0C"/>
    <w:rsid w:val="53AA2830"/>
    <w:rsid w:val="5586605E"/>
    <w:rsid w:val="563A7F05"/>
    <w:rsid w:val="568B06F7"/>
    <w:rsid w:val="56BC6B02"/>
    <w:rsid w:val="58523BC2"/>
    <w:rsid w:val="5B77749C"/>
    <w:rsid w:val="5DCF35BF"/>
    <w:rsid w:val="5E084D23"/>
    <w:rsid w:val="5E5835B4"/>
    <w:rsid w:val="5EBB7FE7"/>
    <w:rsid w:val="5F9E45F4"/>
    <w:rsid w:val="6019183C"/>
    <w:rsid w:val="60536098"/>
    <w:rsid w:val="6147759D"/>
    <w:rsid w:val="61B03707"/>
    <w:rsid w:val="631A5071"/>
    <w:rsid w:val="63312626"/>
    <w:rsid w:val="642469CD"/>
    <w:rsid w:val="658A426F"/>
    <w:rsid w:val="65C07C91"/>
    <w:rsid w:val="66FF2F19"/>
    <w:rsid w:val="67281F92"/>
    <w:rsid w:val="6739419F"/>
    <w:rsid w:val="68437083"/>
    <w:rsid w:val="68F03ABA"/>
    <w:rsid w:val="69AC2A06"/>
    <w:rsid w:val="6AC975E8"/>
    <w:rsid w:val="6B8138A0"/>
    <w:rsid w:val="6B8E5B0A"/>
    <w:rsid w:val="6D3D07A4"/>
    <w:rsid w:val="6D8048D6"/>
    <w:rsid w:val="6E146DCC"/>
    <w:rsid w:val="6E3639F8"/>
    <w:rsid w:val="6E7A30D3"/>
    <w:rsid w:val="6F83245B"/>
    <w:rsid w:val="71213CDA"/>
    <w:rsid w:val="713F6856"/>
    <w:rsid w:val="73B616D3"/>
    <w:rsid w:val="73E84F25"/>
    <w:rsid w:val="74161AF0"/>
    <w:rsid w:val="76DF08BF"/>
    <w:rsid w:val="7742039B"/>
    <w:rsid w:val="77845B54"/>
    <w:rsid w:val="7A083C89"/>
    <w:rsid w:val="7AA03EC1"/>
    <w:rsid w:val="7ABC4A73"/>
    <w:rsid w:val="7BE73D72"/>
    <w:rsid w:val="7CCC3693"/>
    <w:rsid w:val="7D787685"/>
    <w:rsid w:val="7EE60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2554</Words>
  <Characters>2715</Characters>
  <Lines>0</Lines>
  <Paragraphs>0</Paragraphs>
  <TotalTime>2</TotalTime>
  <ScaleCrop>false</ScaleCrop>
  <LinksUpToDate>false</LinksUpToDate>
  <CharactersWithSpaces>2886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2022-04-12T01:44:00Z</dcterms:created>
  <dc:creator>info</dc:creator>
  <cp:lastModifiedBy>杨小欣。 ҉҉҉҉҉҉҉҉</cp:lastModifiedBy>
  <dcterms:modified xsi:type="dcterms:W3CDTF">2023-08-15T11:04:30Z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002D7A8DF3814278B0B76A47AFFDC7F1</vt:lpwstr>
  </property>
  <property fmtid="{D5CDD505-2E9C-101B-9397-08002B2CF9AE}" pid="4" name="commondata">
    <vt:lpwstr>eyJoZGlkIjoiMGIwZWNhMmQyMWVhOWVjNzk2ZDk0NmJiYjk5ODlmZTQifQ==</vt:lpwstr>
  </property>
</Properties>
</file>