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480" w:lineRule="auto"/>
        <w:jc w:val="center"/>
        <w:rPr>
          <w:rFonts w:ascii="微软雅黑" w:hAnsi="微软雅黑" w:eastAsia="微软雅黑" w:cstheme="minorEastAsia"/>
          <w:b/>
          <w:bCs/>
          <w:sz w:val="44"/>
          <w:szCs w:val="44"/>
        </w:rPr>
      </w:pPr>
      <w:bookmarkStart w:id="0" w:name="_Hlk489260599"/>
      <w:bookmarkStart w:id="1" w:name="OLE_LINK13"/>
      <w:bookmarkStart w:id="2" w:name="OLE_LINK14"/>
      <w:r>
        <w:rPr>
          <w:rFonts w:hint="eastAsia" w:ascii="微软雅黑" w:hAnsi="微软雅黑" w:eastAsia="微软雅黑" w:cstheme="minorEastAsia"/>
          <w:b/>
          <w:bCs/>
          <w:sz w:val="44"/>
          <w:szCs w:val="44"/>
        </w:rPr>
        <w:t>第二十三届中国（成都）建筑及装饰材料博览会</w:t>
      </w:r>
    </w:p>
    <w:p>
      <w:pPr>
        <w:adjustRightInd w:val="0"/>
        <w:spacing w:line="480" w:lineRule="auto"/>
        <w:jc w:val="center"/>
        <w:rPr>
          <w:rFonts w:ascii="微软雅黑" w:hAnsi="微软雅黑" w:eastAsia="微软雅黑" w:cstheme="minorEastAsia"/>
          <w:b/>
          <w:bCs/>
          <w:sz w:val="36"/>
          <w:szCs w:val="36"/>
        </w:rPr>
      </w:pPr>
      <w:r>
        <w:rPr>
          <w:rFonts w:hint="eastAsia" w:ascii="微软雅黑" w:hAnsi="微软雅黑" w:eastAsia="微软雅黑" w:cstheme="minorEastAsia"/>
          <w:b/>
          <w:bCs/>
          <w:sz w:val="36"/>
          <w:szCs w:val="36"/>
        </w:rPr>
        <w:t>参展邀请函</w:t>
      </w:r>
    </w:p>
    <w:p>
      <w:pPr>
        <w:spacing w:line="700" w:lineRule="exact"/>
        <w:jc w:val="center"/>
        <w:rPr>
          <w:rFonts w:ascii="微软雅黑" w:hAnsi="微软雅黑" w:eastAsia="微软雅黑" w:cstheme="minorEastAsia"/>
          <w:b/>
          <w:bCs/>
          <w:sz w:val="30"/>
          <w:szCs w:val="30"/>
        </w:rPr>
      </w:pPr>
      <w:r>
        <w:rPr>
          <w:rFonts w:hint="eastAsia" w:ascii="微软雅黑" w:hAnsi="微软雅黑" w:eastAsia="微软雅黑" w:cstheme="minorEastAsia"/>
          <w:b/>
          <w:bCs/>
          <w:sz w:val="30"/>
          <w:szCs w:val="30"/>
        </w:rPr>
        <w:t>2024年4月16—18日   中国西部国际博览城</w:t>
      </w:r>
      <w:bookmarkEnd w:id="0"/>
      <w:bookmarkStart w:id="3" w:name="OLE_LINK1"/>
    </w:p>
    <w:p>
      <w:pPr>
        <w:spacing w:line="700" w:lineRule="exact"/>
        <w:jc w:val="left"/>
        <w:rPr>
          <w:rFonts w:ascii="微软雅黑" w:hAnsi="微软雅黑" w:eastAsia="微软雅黑" w:cstheme="minorEastAsia"/>
          <w:b/>
          <w:bCs/>
          <w:sz w:val="30"/>
          <w:szCs w:val="30"/>
        </w:rPr>
      </w:pPr>
      <w:r>
        <w:rPr>
          <w:rFonts w:hint="eastAsia" w:ascii="微软雅黑" w:hAnsi="微软雅黑" w:eastAsia="微软雅黑" w:cstheme="minorEastAsia"/>
          <w:b/>
          <w:bCs/>
          <w:sz w:val="30"/>
          <w:szCs w:val="30"/>
        </w:rPr>
        <w:t>主办单位：</w:t>
      </w:r>
    </w:p>
    <w:bookmarkEnd w:id="1"/>
    <w:bookmarkEnd w:id="2"/>
    <w:p>
      <w:pPr>
        <w:snapToGrid w:val="0"/>
        <w:rPr>
          <w:rFonts w:ascii="微软雅黑" w:hAnsi="微软雅黑" w:eastAsia="微软雅黑" w:cstheme="minorEastAsia"/>
          <w:szCs w:val="21"/>
        </w:rPr>
        <w:sectPr>
          <w:headerReference r:id="rId3" w:type="default"/>
          <w:footerReference r:id="rId4" w:type="default"/>
          <w:type w:val="continuous"/>
          <w:pgSz w:w="11906" w:h="16838"/>
          <w:pgMar w:top="1440" w:right="1080" w:bottom="1440" w:left="1080" w:header="851" w:footer="992" w:gutter="0"/>
          <w:cols w:space="425" w:num="1"/>
          <w:docGrid w:type="lines" w:linePitch="312" w:charSpace="0"/>
        </w:sectPr>
      </w:pPr>
      <w:bookmarkStart w:id="4" w:name="OLE_LINK7"/>
      <w:bookmarkStart w:id="5" w:name="OLE_LINK2"/>
      <w:bookmarkStart w:id="6" w:name="OLE_LINK3"/>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中国建筑材料流通协会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中国五矿化工进出口商会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英富曼Informa</w:t>
      </w:r>
      <w:r>
        <w:rPr>
          <w:rFonts w:ascii="微软雅黑" w:hAnsi="微软雅黑" w:eastAsia="微软雅黑" w:cstheme="minorEastAsia"/>
          <w:szCs w:val="21"/>
        </w:rPr>
        <w:t xml:space="preserve"> </w:t>
      </w:r>
      <w:r>
        <w:rPr>
          <w:rFonts w:hint="eastAsia" w:ascii="微软雅黑" w:hAnsi="微软雅黑" w:eastAsia="微软雅黑" w:cstheme="minorEastAsia"/>
          <w:szCs w:val="21"/>
        </w:rPr>
        <w:t>marke</w:t>
      </w:r>
      <w:r>
        <w:rPr>
          <w:rFonts w:ascii="微软雅黑" w:hAnsi="微软雅黑" w:eastAsia="微软雅黑" w:cstheme="minorEastAsia"/>
          <w:szCs w:val="21"/>
        </w:rPr>
        <w:t>t</w:t>
      </w:r>
      <w:r>
        <w:rPr>
          <w:rFonts w:hint="eastAsia" w:ascii="微软雅黑" w:hAnsi="微软雅黑" w:eastAsia="微软雅黑" w:cstheme="minorEastAsia"/>
          <w:szCs w:val="21"/>
        </w:rPr>
        <w:t>s</w:t>
      </w:r>
      <w:r>
        <w:rPr>
          <w:rFonts w:ascii="微软雅黑" w:hAnsi="微软雅黑" w:eastAsia="微软雅黑" w:cstheme="minorEastAsia"/>
          <w:szCs w:val="21"/>
        </w:rPr>
        <w:t xml:space="preserve">        </w:t>
      </w:r>
      <w:bookmarkStart w:id="7" w:name="_Hlk50012809"/>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英富曼天一展览（成都）有限公司</w:t>
      </w:r>
    </w:p>
    <w:bookmarkEnd w:id="7"/>
    <w:p>
      <w:pPr>
        <w:snapToGrid w:val="0"/>
        <w:spacing w:line="360" w:lineRule="exact"/>
        <w:rPr>
          <w:rFonts w:ascii="微软雅黑" w:hAnsi="微软雅黑" w:eastAsia="微软雅黑" w:cstheme="minorEastAsia"/>
          <w:szCs w:val="21"/>
        </w:rPr>
        <w:sectPr>
          <w:type w:val="continuous"/>
          <w:pgSz w:w="11906" w:h="16838"/>
          <w:pgMar w:top="1440" w:right="1080" w:bottom="1440" w:left="1080" w:header="851" w:footer="992" w:gutter="0"/>
          <w:cols w:space="425" w:num="2"/>
          <w:docGrid w:type="lines" w:linePitch="312" w:charSpace="0"/>
        </w:sectPr>
      </w:pPr>
    </w:p>
    <w:p>
      <w:pPr>
        <w:snapToGrid w:val="0"/>
        <w:spacing w:line="360" w:lineRule="exact"/>
        <w:rPr>
          <w:rFonts w:ascii="微软雅黑" w:hAnsi="微软雅黑" w:eastAsia="微软雅黑" w:cstheme="minorEastAsia"/>
          <w:szCs w:val="21"/>
        </w:rPr>
      </w:pPr>
    </w:p>
    <w:p>
      <w:pPr>
        <w:snapToGrid w:val="0"/>
        <w:spacing w:line="360" w:lineRule="exact"/>
        <w:rPr>
          <w:rFonts w:ascii="微软雅黑" w:hAnsi="微软雅黑" w:eastAsia="微软雅黑" w:cstheme="minorEastAsia"/>
          <w:b/>
          <w:szCs w:val="21"/>
        </w:rPr>
        <w:sectPr>
          <w:type w:val="continuous"/>
          <w:pgSz w:w="11906" w:h="16838"/>
          <w:pgMar w:top="1440" w:right="1080" w:bottom="1440" w:left="1080" w:header="851" w:footer="992" w:gutter="0"/>
          <w:cols w:space="425" w:num="1"/>
          <w:docGrid w:type="lines" w:linePitch="312" w:charSpace="0"/>
        </w:sectPr>
      </w:pPr>
    </w:p>
    <w:p>
      <w:pPr>
        <w:snapToGrid w:val="0"/>
        <w:spacing w:line="360" w:lineRule="exact"/>
        <w:rPr>
          <w:rFonts w:ascii="微软雅黑" w:hAnsi="微软雅黑" w:eastAsia="微软雅黑" w:cstheme="minorEastAsia"/>
          <w:b/>
          <w:sz w:val="28"/>
          <w:szCs w:val="28"/>
        </w:rPr>
      </w:pPr>
      <w:r>
        <w:rPr>
          <w:rFonts w:hint="eastAsia" w:ascii="微软雅黑" w:hAnsi="微软雅黑" w:eastAsia="微软雅黑" w:cstheme="minorEastAsia"/>
          <w:b/>
          <w:sz w:val="28"/>
          <w:szCs w:val="28"/>
        </w:rPr>
        <w:t>联合主办</w:t>
      </w:r>
      <w:bookmarkStart w:id="8" w:name="_Hlk49852304"/>
      <w:r>
        <w:rPr>
          <w:rFonts w:hint="eastAsia" w:ascii="微软雅黑" w:hAnsi="微软雅黑" w:eastAsia="微软雅黑" w:cstheme="minorEastAsia"/>
          <w:b/>
          <w:sz w:val="28"/>
          <w:szCs w:val="28"/>
        </w:rPr>
        <w:t>单位：</w:t>
      </w:r>
      <w:bookmarkEnd w:id="8"/>
    </w:p>
    <w:p>
      <w:pPr>
        <w:snapToGrid w:val="0"/>
        <w:spacing w:line="360" w:lineRule="exact"/>
        <w:rPr>
          <w:rFonts w:ascii="微软雅黑" w:hAnsi="微软雅黑" w:eastAsia="微软雅黑" w:cstheme="minorEastAsia"/>
          <w:szCs w:val="21"/>
        </w:rPr>
        <w:sectPr>
          <w:type w:val="continuous"/>
          <w:pgSz w:w="11906" w:h="16838"/>
          <w:pgMar w:top="1440" w:right="1080" w:bottom="1440" w:left="1080" w:header="851" w:footer="992" w:gutter="0"/>
          <w:cols w:space="720" w:num="1"/>
          <w:docGrid w:type="lines" w:linePitch="312" w:charSpace="0"/>
        </w:sectPr>
      </w:pP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四川省装配式建筑产业协会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 xml:space="preserve">四川省林业产业联合会 </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四川省室内装饰协会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四川省建筑防水协会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四川省建筑业商会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成都浴室柜行业协会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成都市建筑材料行业协会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成都市金属结构行业协会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成都住宅与房地产业协会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成都室内装饰行业协会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夹江陶瓷行业协会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成都市节能及新材料产业协会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成都涂料行业协会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成都市名优产品供需企业联盟</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重庆市定制家居协会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重庆九龙坡门窗商会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重庆市建筑材料协会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重庆家具行业协会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重庆市涂料涂装行业协会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重庆市房地产开发协会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重庆市建筑装饰协会</w:t>
      </w:r>
    </w:p>
    <w:p>
      <w:pPr>
        <w:snapToGrid w:val="0"/>
        <w:spacing w:line="360" w:lineRule="exact"/>
        <w:rPr>
          <w:rFonts w:ascii="微软雅黑" w:hAnsi="微软雅黑" w:eastAsia="微软雅黑" w:cstheme="minorEastAsia"/>
          <w:szCs w:val="21"/>
        </w:rPr>
      </w:pPr>
      <w:r>
        <w:rPr>
          <w:rFonts w:hint="eastAsia" w:ascii="微软雅黑" w:hAnsi="微软雅黑" w:eastAsia="微软雅黑" w:cstheme="minorEastAsia"/>
          <w:szCs w:val="21"/>
        </w:rPr>
        <w:t>重庆市绿色建筑与建筑产业化协会</w:t>
      </w:r>
    </w:p>
    <w:p>
      <w:pPr>
        <w:snapToGrid w:val="0"/>
        <w:spacing w:line="360" w:lineRule="exact"/>
        <w:rPr>
          <w:rFonts w:ascii="微软雅黑" w:hAnsi="微软雅黑" w:eastAsia="微软雅黑" w:cstheme="minorEastAsia"/>
          <w:szCs w:val="21"/>
        </w:rPr>
        <w:sectPr>
          <w:type w:val="continuous"/>
          <w:pgSz w:w="11906" w:h="16838"/>
          <w:pgMar w:top="1440" w:right="1080" w:bottom="1440" w:left="1080" w:header="851" w:footer="992" w:gutter="0"/>
          <w:cols w:space="720" w:num="2"/>
          <w:docGrid w:type="lines" w:linePitch="312" w:charSpace="0"/>
        </w:sectPr>
      </w:pPr>
      <w:r>
        <w:rPr>
          <w:rFonts w:hint="eastAsia" w:ascii="微软雅黑" w:hAnsi="微软雅黑" w:eastAsia="微软雅黑" w:cstheme="minorEastAsia"/>
          <w:szCs w:val="21"/>
        </w:rPr>
        <w:t>重庆市墙体材料工业行业协会</w:t>
      </w:r>
    </w:p>
    <w:p>
      <w:pPr>
        <w:snapToGrid w:val="0"/>
        <w:spacing w:line="360" w:lineRule="exact"/>
        <w:rPr>
          <w:rFonts w:ascii="微软雅黑" w:hAnsi="微软雅黑" w:eastAsia="微软雅黑" w:cstheme="minorEastAsia"/>
          <w:szCs w:val="21"/>
        </w:rPr>
      </w:pPr>
    </w:p>
    <w:p>
      <w:pPr>
        <w:snapToGrid w:val="0"/>
        <w:spacing w:line="360" w:lineRule="exact"/>
        <w:rPr>
          <w:rFonts w:ascii="微软雅黑" w:hAnsi="微软雅黑" w:eastAsia="微软雅黑" w:cstheme="minorEastAsia"/>
          <w:b/>
          <w:sz w:val="28"/>
          <w:szCs w:val="28"/>
        </w:rPr>
      </w:pPr>
      <w:bookmarkStart w:id="9" w:name="OLE_LINK8"/>
    </w:p>
    <w:bookmarkEnd w:id="4"/>
    <w:bookmarkEnd w:id="9"/>
    <w:p>
      <w:pPr>
        <w:snapToGrid w:val="0"/>
        <w:spacing w:before="120"/>
        <w:rPr>
          <w:rFonts w:ascii="微软雅黑" w:hAnsi="微软雅黑" w:eastAsia="微软雅黑" w:cstheme="minorEastAsia"/>
          <w:b/>
          <w:sz w:val="28"/>
          <w:szCs w:val="28"/>
        </w:rPr>
        <w:sectPr>
          <w:type w:val="continuous"/>
          <w:pgSz w:w="11906" w:h="16838"/>
          <w:pgMar w:top="1440" w:right="1080" w:bottom="1440" w:left="1080" w:header="851" w:footer="992" w:gutter="0"/>
          <w:cols w:space="425" w:num="1"/>
          <w:docGrid w:type="lines" w:linePitch="312" w:charSpace="0"/>
        </w:sectPr>
      </w:pPr>
      <w:r>
        <w:rPr>
          <w:rFonts w:hint="eastAsia" w:ascii="微软雅黑" w:hAnsi="微软雅黑" w:eastAsia="微软雅黑" w:cstheme="minorEastAsia"/>
          <w:b/>
          <w:sz w:val="28"/>
          <w:szCs w:val="28"/>
        </w:rPr>
        <w:t>分馆分区打造主题展：</w:t>
      </w:r>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中国成都门窗展</w:t>
      </w:r>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中国成都定制家居展</w:t>
      </w:r>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中国成都暖通展</w:t>
      </w:r>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中国成都卫浴展</w:t>
      </w:r>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 xml:space="preserve">中国成都厨电展 </w:t>
      </w:r>
      <w:r>
        <w:rPr>
          <w:rFonts w:ascii="微软雅黑" w:hAnsi="微软雅黑" w:eastAsia="微软雅黑" w:cstheme="minorEastAsia"/>
          <w:szCs w:val="21"/>
        </w:rPr>
        <w:t xml:space="preserve">                                        </w:t>
      </w:r>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中国成都智能家居展</w:t>
      </w:r>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中国成都顶墙地装饰材料展</w:t>
      </w:r>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中国成都装配式建筑及建筑新材料展</w:t>
      </w:r>
    </w:p>
    <w:p>
      <w:pPr>
        <w:snapToGrid w:val="0"/>
        <w:rPr>
          <w:rFonts w:ascii="微软雅黑" w:hAnsi="微软雅黑" w:eastAsia="微软雅黑" w:cstheme="minorEastAsia"/>
          <w:szCs w:val="21"/>
        </w:rPr>
      </w:pPr>
      <w:r>
        <w:rPr>
          <w:rFonts w:hint="eastAsia" w:ascii="微软雅黑" w:hAnsi="微软雅黑" w:eastAsia="微软雅黑" w:cstheme="minorEastAsia"/>
          <w:szCs w:val="21"/>
        </w:rPr>
        <w:t>中国成都建筑模板脚手架展</w:t>
      </w:r>
    </w:p>
    <w:p>
      <w:pPr>
        <w:snapToGrid w:val="0"/>
        <w:rPr>
          <w:rFonts w:ascii="微软雅黑" w:hAnsi="微软雅黑" w:eastAsia="微软雅黑" w:cstheme="minorEastAsia"/>
          <w:szCs w:val="21"/>
        </w:rPr>
        <w:sectPr>
          <w:type w:val="continuous"/>
          <w:pgSz w:w="11906" w:h="16838"/>
          <w:pgMar w:top="1440" w:right="1080" w:bottom="1440" w:left="1080" w:header="851" w:footer="992" w:gutter="0"/>
          <w:cols w:space="425" w:num="2"/>
          <w:docGrid w:type="lines" w:linePitch="312" w:charSpace="0"/>
        </w:sectPr>
      </w:pPr>
    </w:p>
    <w:p>
      <w:pPr>
        <w:rPr>
          <w:rFonts w:ascii="微软雅黑" w:hAnsi="微软雅黑" w:eastAsia="微软雅黑" w:cstheme="minorEastAsia"/>
          <w:b/>
          <w:bCs/>
          <w:sz w:val="28"/>
          <w:szCs w:val="28"/>
        </w:rPr>
      </w:pPr>
    </w:p>
    <w:p>
      <w:pPr>
        <w:rPr>
          <w:rFonts w:ascii="微软雅黑" w:hAnsi="微软雅黑" w:eastAsia="微软雅黑" w:cstheme="minorEastAsia"/>
          <w:b/>
          <w:bCs/>
          <w:sz w:val="28"/>
          <w:szCs w:val="28"/>
        </w:rPr>
      </w:pPr>
    </w:p>
    <w:p>
      <w:pPr>
        <w:rPr>
          <w:rFonts w:ascii="微软雅黑" w:hAnsi="微软雅黑" w:eastAsia="微软雅黑" w:cstheme="minorEastAsia"/>
          <w:b/>
          <w:bCs/>
          <w:sz w:val="28"/>
          <w:szCs w:val="28"/>
        </w:rPr>
      </w:pPr>
    </w:p>
    <w:p>
      <w:pPr>
        <w:rPr>
          <w:rFonts w:ascii="微软雅黑" w:hAnsi="微软雅黑" w:eastAsia="微软雅黑" w:cstheme="minorEastAsia"/>
          <w:b/>
          <w:bCs/>
          <w:sz w:val="28"/>
          <w:szCs w:val="28"/>
        </w:rPr>
      </w:pPr>
      <w:r>
        <w:rPr>
          <w:rFonts w:ascii="微软雅黑" w:hAnsi="微软雅黑" w:eastAsia="微软雅黑" w:cstheme="minorEastAsia"/>
          <w:b/>
          <w:bCs/>
          <w:sz w:val="28"/>
          <w:szCs w:val="28"/>
        </w:rPr>
        <w:t>2024</w:t>
      </w:r>
      <w:r>
        <w:rPr>
          <w:rFonts w:hint="eastAsia" w:ascii="微软雅黑" w:hAnsi="微软雅黑" w:eastAsia="微软雅黑" w:cstheme="minorEastAsia"/>
          <w:b/>
          <w:bCs/>
          <w:sz w:val="28"/>
          <w:szCs w:val="28"/>
        </w:rPr>
        <w:t>CCBD中国成都建博会为大家居建装行业提供整体解决方案</w:t>
      </w:r>
    </w:p>
    <w:p>
      <w:pPr>
        <w:snapToGrid w:val="0"/>
        <w:spacing w:line="360" w:lineRule="auto"/>
        <w:ind w:firstLine="440" w:firstLineChars="200"/>
        <w:jc w:val="left"/>
        <w:rPr>
          <w:rFonts w:ascii="微软雅黑" w:hAnsi="微软雅黑" w:eastAsia="微软雅黑" w:cstheme="minorEastAsia"/>
          <w:sz w:val="22"/>
        </w:rPr>
      </w:pPr>
      <w:bookmarkStart w:id="10" w:name="OLE_LINK6"/>
      <w:r>
        <w:rPr>
          <w:rFonts w:hint="eastAsia" w:ascii="微软雅黑" w:hAnsi="微软雅黑" w:eastAsia="微软雅黑" w:cstheme="minorEastAsia"/>
          <w:sz w:val="22"/>
        </w:rPr>
        <w:t>中国（成都）建筑及装饰材料博览会（简称：CCBD中国成都建博会）创办于2004年，是全球展览业协会（UFI）认证展会，展会规模已跃居全国同类展会前列。C</w:t>
      </w:r>
      <w:r>
        <w:rPr>
          <w:rFonts w:ascii="微软雅黑" w:hAnsi="微软雅黑" w:eastAsia="微软雅黑" w:cstheme="minorEastAsia"/>
          <w:sz w:val="22"/>
        </w:rPr>
        <w:t>CBD</w:t>
      </w:r>
      <w:r>
        <w:rPr>
          <w:rFonts w:hint="eastAsia" w:ascii="微软雅黑" w:hAnsi="微软雅黑" w:eastAsia="微软雅黑" w:cstheme="minorEastAsia"/>
          <w:sz w:val="22"/>
        </w:rPr>
        <w:t>中国成都建博会一直致力于为全国建材家居厂家、经销代理商、房地产开发商、建设/装饰单位提供专业的商贸合作渠道，打造大家居建装行业以“经销代理”和“公装集采”为核心的优选平台。在深度把握成渝地区双城经济圈建设战略机遇，依托成渝地区的产业集群优势，2023年开始在重庆地区打造CCBD中国重庆建博会，逐步形成“成渝双展”4月成都10月重庆双城发展的新格局。</w:t>
      </w:r>
    </w:p>
    <w:p>
      <w:pPr>
        <w:snapToGrid w:val="0"/>
        <w:spacing w:line="360" w:lineRule="auto"/>
        <w:ind w:firstLine="440" w:firstLineChars="200"/>
        <w:jc w:val="left"/>
        <w:rPr>
          <w:rFonts w:ascii="微软雅黑" w:hAnsi="微软雅黑" w:eastAsia="微软雅黑" w:cstheme="minorEastAsia"/>
          <w:sz w:val="22"/>
        </w:rPr>
      </w:pPr>
      <w:r>
        <w:rPr>
          <w:rFonts w:hint="eastAsia" w:ascii="微软雅黑" w:hAnsi="微软雅黑" w:eastAsia="微软雅黑" w:cstheme="minorEastAsia"/>
          <w:sz w:val="22"/>
        </w:rPr>
        <w:t>第二十三届中国（成都）建筑及装饰材料博览会（简称：2</w:t>
      </w:r>
      <w:r>
        <w:rPr>
          <w:rFonts w:ascii="微软雅黑" w:hAnsi="微软雅黑" w:eastAsia="微软雅黑" w:cstheme="minorEastAsia"/>
          <w:sz w:val="22"/>
        </w:rPr>
        <w:t>024</w:t>
      </w:r>
      <w:r>
        <w:rPr>
          <w:rFonts w:hint="eastAsia" w:ascii="微软雅黑" w:hAnsi="微软雅黑" w:eastAsia="微软雅黑" w:cstheme="minorEastAsia"/>
          <w:sz w:val="22"/>
        </w:rPr>
        <w:t>CCBD中国成都建博会），将于2024年4月16—18日在中国西部国际博览城召开。本次展会展览面积1</w:t>
      </w:r>
      <w:r>
        <w:rPr>
          <w:rFonts w:ascii="微软雅黑" w:hAnsi="微软雅黑" w:eastAsia="微软雅黑" w:cstheme="minorEastAsia"/>
          <w:sz w:val="22"/>
        </w:rPr>
        <w:t>6</w:t>
      </w:r>
      <w:r>
        <w:rPr>
          <w:rFonts w:hint="eastAsia" w:ascii="微软雅黑" w:hAnsi="微软雅黑" w:eastAsia="微软雅黑" w:cstheme="minorEastAsia"/>
          <w:sz w:val="22"/>
        </w:rPr>
        <w:t>0000㎡，预计2000+参展企业，50000+款新品，1</w:t>
      </w:r>
      <w:r>
        <w:rPr>
          <w:rFonts w:ascii="微软雅黑" w:hAnsi="微软雅黑" w:eastAsia="微软雅黑" w:cstheme="minorEastAsia"/>
          <w:sz w:val="22"/>
        </w:rPr>
        <w:t>8</w:t>
      </w:r>
      <w:r>
        <w:rPr>
          <w:rFonts w:hint="eastAsia" w:ascii="微软雅黑" w:hAnsi="微软雅黑" w:eastAsia="微软雅黑" w:cstheme="minorEastAsia"/>
          <w:sz w:val="22"/>
        </w:rPr>
        <w:t>0000+人次专业观众，</w:t>
      </w:r>
      <w:r>
        <w:rPr>
          <w:rFonts w:ascii="微软雅黑" w:hAnsi="微软雅黑" w:eastAsia="微软雅黑" w:cstheme="minorEastAsia"/>
          <w:sz w:val="22"/>
        </w:rPr>
        <w:t>5</w:t>
      </w:r>
      <w:r>
        <w:rPr>
          <w:rFonts w:hint="eastAsia" w:ascii="微软雅黑" w:hAnsi="微软雅黑" w:eastAsia="微软雅黑" w:cstheme="minorEastAsia"/>
          <w:sz w:val="22"/>
        </w:rPr>
        <w:t>0+场论坛活动/新品发布会。云集千余厂家、数万行业新品，是中西部地区举办规模最大、展品最全、新品最多的大家居建装行业旗舰展。</w:t>
      </w:r>
    </w:p>
    <w:p>
      <w:pPr>
        <w:snapToGrid w:val="0"/>
        <w:spacing w:line="360" w:lineRule="auto"/>
        <w:ind w:firstLine="440" w:firstLineChars="200"/>
        <w:rPr>
          <w:rFonts w:ascii="微软雅黑" w:hAnsi="微软雅黑" w:eastAsia="微软雅黑" w:cstheme="minorEastAsia"/>
          <w:sz w:val="22"/>
        </w:rPr>
      </w:pPr>
      <w:r>
        <w:rPr>
          <w:rFonts w:hint="eastAsia" w:ascii="微软雅黑" w:hAnsi="微软雅黑" w:eastAsia="微软雅黑" w:cstheme="minorEastAsia"/>
          <w:sz w:val="22"/>
        </w:rPr>
        <w:t>本届展会将是更优选、更细化、更创新、更优质、更高效的线上线下全渠道连接、面向行业未来打造可长期持续发展的展贸平台。</w:t>
      </w:r>
    </w:p>
    <w:p>
      <w:pPr>
        <w:snapToGrid w:val="0"/>
        <w:spacing w:line="360" w:lineRule="auto"/>
        <w:rPr>
          <w:rFonts w:ascii="微软雅黑" w:hAnsi="微软雅黑" w:eastAsia="微软雅黑" w:cstheme="minorEastAsia"/>
          <w:szCs w:val="21"/>
        </w:rPr>
      </w:pPr>
      <w:r>
        <w:rPr>
          <w:rFonts w:hint="eastAsia" w:ascii="微软雅黑" w:hAnsi="微软雅黑" w:eastAsia="微软雅黑" w:cstheme="minorEastAsia"/>
          <w:b/>
          <w:bCs/>
          <w:szCs w:val="21"/>
        </w:rPr>
        <w:t>展商品质更优选</w:t>
      </w:r>
      <w:r>
        <w:rPr>
          <w:rFonts w:hint="eastAsia" w:ascii="微软雅黑" w:hAnsi="微软雅黑" w:eastAsia="微软雅黑" w:cstheme="minorEastAsia"/>
          <w:szCs w:val="21"/>
        </w:rPr>
        <w:t>——本届展会将甄选邀请超2000家全国优质厂商，重点邀请行业影响力品牌、高质量企业参展。</w:t>
      </w:r>
      <w:r>
        <w:rPr>
          <w:rFonts w:hint="eastAsia" w:ascii="微软雅黑" w:hAnsi="微软雅黑" w:eastAsia="微软雅黑" w:cstheme="minorEastAsia"/>
          <w:sz w:val="22"/>
        </w:rPr>
        <w:t>为中西部地区大家居建装行业提供高效务实的B2B贸易平台</w:t>
      </w:r>
      <w:r>
        <w:rPr>
          <w:rFonts w:hint="eastAsia" w:ascii="微软雅黑" w:hAnsi="微软雅黑" w:eastAsia="微软雅黑" w:cstheme="minorEastAsia"/>
          <w:szCs w:val="21"/>
        </w:rPr>
        <w:t>。</w:t>
      </w:r>
    </w:p>
    <w:p>
      <w:pPr>
        <w:snapToGrid w:val="0"/>
        <w:spacing w:line="360" w:lineRule="auto"/>
        <w:rPr>
          <w:rFonts w:ascii="微软雅黑" w:hAnsi="微软雅黑" w:eastAsia="微软雅黑" w:cstheme="minorEastAsia"/>
          <w:szCs w:val="21"/>
        </w:rPr>
      </w:pPr>
      <w:r>
        <w:rPr>
          <w:rFonts w:hint="eastAsia" w:ascii="微软雅黑" w:hAnsi="微软雅黑" w:eastAsia="微软雅黑" w:cstheme="minorEastAsia"/>
          <w:b/>
          <w:bCs/>
          <w:szCs w:val="21"/>
        </w:rPr>
        <w:t>展品分类更细化</w:t>
      </w:r>
      <w:r>
        <w:rPr>
          <w:rFonts w:hint="eastAsia" w:ascii="微软雅黑" w:hAnsi="微软雅黑" w:eastAsia="微软雅黑" w:cstheme="minorEastAsia"/>
          <w:szCs w:val="21"/>
        </w:rPr>
        <w:t>——专馆专区细化展品结构，展示行业全产业链产品，全面涵盖门窗、定制家居、全屋整装、顶/墙/地材/软装、整体卫浴/陶瓷岩板、智能家居、暖通舒适家居、净水及厨电、建筑新材料及装配式建筑等上下游企业产品集中展出。</w:t>
      </w:r>
    </w:p>
    <w:p>
      <w:pPr>
        <w:snapToGrid w:val="0"/>
        <w:spacing w:line="360" w:lineRule="auto"/>
        <w:rPr>
          <w:rFonts w:ascii="微软雅黑" w:hAnsi="微软雅黑" w:eastAsia="微软雅黑" w:cstheme="minorEastAsia"/>
          <w:szCs w:val="21"/>
        </w:rPr>
      </w:pPr>
      <w:r>
        <w:rPr>
          <w:rFonts w:hint="eastAsia" w:ascii="微软雅黑" w:hAnsi="微软雅黑" w:eastAsia="微软雅黑" w:cstheme="minorEastAsia"/>
          <w:b/>
          <w:bCs/>
          <w:szCs w:val="21"/>
        </w:rPr>
        <w:t>推广渠道更创新</w:t>
      </w:r>
      <w:r>
        <w:rPr>
          <w:rFonts w:hint="eastAsia" w:ascii="微软雅黑" w:hAnsi="微软雅黑" w:eastAsia="微软雅黑" w:cstheme="minorEastAsia"/>
          <w:szCs w:val="21"/>
        </w:rPr>
        <w:t>——将整合营销坚持“传统+新式”、“线上+线下”相融合，拓宽展会的宣传渠道。联合行业媒体、商协会深度合作，丰富展会、会议内容。多维度资源整合全面赋能创新品牌、产品和项目，打造"深度渗透产业的立体新品推广通路"。</w:t>
      </w:r>
    </w:p>
    <w:p>
      <w:pPr>
        <w:snapToGrid w:val="0"/>
        <w:spacing w:line="360" w:lineRule="auto"/>
        <w:rPr>
          <w:rFonts w:ascii="微软雅黑" w:hAnsi="微软雅黑" w:eastAsia="微软雅黑" w:cstheme="minorEastAsia"/>
          <w:szCs w:val="21"/>
        </w:rPr>
      </w:pPr>
      <w:r>
        <w:rPr>
          <w:rFonts w:hint="eastAsia" w:ascii="微软雅黑" w:hAnsi="微软雅黑" w:eastAsia="微软雅黑" w:cstheme="minorEastAsia"/>
          <w:b/>
          <w:bCs/>
          <w:szCs w:val="21"/>
        </w:rPr>
        <w:t>观众来源更优质</w:t>
      </w:r>
      <w:r>
        <w:rPr>
          <w:rFonts w:hint="eastAsia" w:ascii="微软雅黑" w:hAnsi="微软雅黑" w:eastAsia="微软雅黑" w:cstheme="minorEastAsia"/>
          <w:szCs w:val="21"/>
        </w:rPr>
        <w:t>——我们对专业观众邀请有着深厚经验和需求洞察，通过更精准的可识别标签，邀约全国各地的经销商/代理商、制造生产厂家、终端零售商、进出口贸易商、房地产开发商、建筑设计院所、装饰公司、工程施工单位、设计师、商协会、行业媒体、家居卖场等专业观众参观洽谈。坚实打造大家居建装行业“经销代理”与“公装集采” 优选平台。</w:t>
      </w:r>
    </w:p>
    <w:p>
      <w:pPr>
        <w:snapToGrid w:val="0"/>
        <w:spacing w:line="360" w:lineRule="auto"/>
        <w:rPr>
          <w:rFonts w:ascii="微软雅黑" w:hAnsi="微软雅黑" w:eastAsia="微软雅黑" w:cstheme="minorEastAsia"/>
          <w:szCs w:val="21"/>
        </w:rPr>
        <w:sectPr>
          <w:type w:val="continuous"/>
          <w:pgSz w:w="11906" w:h="16838"/>
          <w:pgMar w:top="1440" w:right="1080" w:bottom="1440" w:left="1080" w:header="851" w:footer="992" w:gutter="0"/>
          <w:cols w:space="425" w:num="1"/>
          <w:docGrid w:type="lines" w:linePitch="312" w:charSpace="0"/>
        </w:sectPr>
      </w:pPr>
      <w:r>
        <w:rPr>
          <w:rFonts w:hint="eastAsia" w:ascii="微软雅黑" w:hAnsi="微软雅黑" w:eastAsia="微软雅黑" w:cstheme="minorEastAsia"/>
          <w:b/>
          <w:bCs/>
          <w:szCs w:val="21"/>
        </w:rPr>
        <w:t>商贸对接更高效</w:t>
      </w:r>
      <w:r>
        <w:rPr>
          <w:rFonts w:hint="eastAsia" w:ascii="微软雅黑" w:hAnsi="微软雅黑" w:eastAsia="微软雅黑" w:cstheme="minorEastAsia"/>
          <w:szCs w:val="21"/>
        </w:rPr>
        <w:t>——专业</w:t>
      </w:r>
      <w:r>
        <w:rPr>
          <w:rFonts w:ascii="微软雅黑" w:hAnsi="微软雅黑" w:eastAsia="微软雅黑" w:cstheme="minorEastAsia"/>
          <w:szCs w:val="21"/>
        </w:rPr>
        <w:t>VIP</w:t>
      </w:r>
      <w:r>
        <w:rPr>
          <w:rFonts w:hint="eastAsia" w:ascii="微软雅黑" w:hAnsi="微软雅黑" w:eastAsia="微软雅黑" w:cstheme="minorEastAsia"/>
          <w:szCs w:val="21"/>
        </w:rPr>
        <w:t>特邀观众团队通过定向筛选邀约，挑选有项目材料采购需求、贸易代理需求、加工合作需求、商务贸易需求的参观商，提供匹配对接</w:t>
      </w:r>
      <w:r>
        <w:rPr>
          <w:rFonts w:hint="eastAsia" w:ascii="微软雅黑" w:hAnsi="微软雅黑" w:eastAsia="微软雅黑" w:cs="宋体"/>
        </w:rPr>
        <w:t>心仪展商服务。提升参观商的观展效率，提高参展商的满意度，</w:t>
      </w:r>
      <w:r>
        <w:rPr>
          <w:rFonts w:hint="eastAsia" w:ascii="微软雅黑" w:hAnsi="微软雅黑" w:eastAsia="微软雅黑" w:cstheme="minorEastAsia"/>
          <w:szCs w:val="21"/>
        </w:rPr>
        <w:t>让上下游的匹配变得更加高效，让参会者都满载而归。</w:t>
      </w:r>
    </w:p>
    <w:bookmarkEnd w:id="3"/>
    <w:bookmarkEnd w:id="10"/>
    <w:p>
      <w:pPr>
        <w:snapToGrid w:val="0"/>
        <w:spacing w:line="360" w:lineRule="auto"/>
        <w:rPr>
          <w:rFonts w:ascii="微软雅黑" w:hAnsi="微软雅黑" w:eastAsia="微软雅黑" w:cstheme="minorEastAsia"/>
          <w:szCs w:val="21"/>
        </w:rPr>
        <w:sectPr>
          <w:type w:val="continuous"/>
          <w:pgSz w:w="11906" w:h="16838"/>
          <w:pgMar w:top="1440" w:right="1080" w:bottom="1440" w:left="1080" w:header="851" w:footer="992" w:gutter="0"/>
          <w:cols w:equalWidth="0" w:num="2">
            <w:col w:w="4660" w:space="425"/>
            <w:col w:w="4660"/>
          </w:cols>
          <w:docGrid w:type="lines" w:linePitch="312" w:charSpace="0"/>
        </w:sectPr>
      </w:pPr>
    </w:p>
    <w:bookmarkEnd w:id="5"/>
    <w:bookmarkEnd w:id="6"/>
    <w:p>
      <w:pPr>
        <w:rPr>
          <w:rFonts w:ascii="微软雅黑" w:hAnsi="微软雅黑" w:eastAsia="微软雅黑" w:cstheme="minorEastAsia"/>
          <w:b/>
          <w:bCs/>
          <w:sz w:val="28"/>
          <w:szCs w:val="28"/>
        </w:rPr>
      </w:pPr>
      <w:r>
        <w:rPr>
          <w:rFonts w:hint="eastAsia" w:ascii="微软雅黑" w:hAnsi="微软雅黑" w:eastAsia="微软雅黑" w:cstheme="minorEastAsia"/>
          <w:b/>
          <w:bCs/>
          <w:sz w:val="28"/>
          <w:szCs w:val="28"/>
        </w:rPr>
        <w:t>20</w:t>
      </w:r>
      <w:r>
        <w:rPr>
          <w:rFonts w:ascii="微软雅黑" w:hAnsi="微软雅黑" w:eastAsia="微软雅黑" w:cstheme="minorEastAsia"/>
          <w:b/>
          <w:bCs/>
          <w:sz w:val="28"/>
          <w:szCs w:val="28"/>
        </w:rPr>
        <w:t>24</w:t>
      </w:r>
      <w:r>
        <w:rPr>
          <w:rFonts w:hint="eastAsia" w:ascii="微软雅黑" w:hAnsi="微软雅黑" w:eastAsia="微软雅黑" w:cstheme="minorEastAsia"/>
          <w:b/>
          <w:bCs/>
          <w:sz w:val="28"/>
          <w:szCs w:val="28"/>
        </w:rPr>
        <w:t>CCBD规划12个展馆+</w:t>
      </w:r>
      <w:r>
        <w:rPr>
          <w:rFonts w:ascii="微软雅黑" w:hAnsi="微软雅黑" w:eastAsia="微软雅黑" w:cstheme="minorEastAsia"/>
          <w:b/>
          <w:bCs/>
          <w:sz w:val="28"/>
          <w:szCs w:val="28"/>
        </w:rPr>
        <w:t>4</w:t>
      </w:r>
      <w:r>
        <w:rPr>
          <w:rFonts w:hint="eastAsia" w:ascii="微软雅黑" w:hAnsi="微软雅黑" w:eastAsia="微软雅黑" w:cstheme="minorEastAsia"/>
          <w:b/>
          <w:bCs/>
          <w:sz w:val="28"/>
          <w:szCs w:val="28"/>
        </w:rPr>
        <w:t>个室外展馆+</w:t>
      </w:r>
      <w:r>
        <w:rPr>
          <w:rFonts w:ascii="微软雅黑" w:hAnsi="微软雅黑" w:eastAsia="微软雅黑" w:cstheme="minorEastAsia"/>
          <w:b/>
          <w:bCs/>
          <w:sz w:val="28"/>
          <w:szCs w:val="28"/>
        </w:rPr>
        <w:t>6</w:t>
      </w:r>
      <w:r>
        <w:rPr>
          <w:rFonts w:hint="eastAsia" w:ascii="微软雅黑" w:hAnsi="微软雅黑" w:eastAsia="微软雅黑" w:cstheme="minorEastAsia"/>
          <w:b/>
          <w:bCs/>
          <w:sz w:val="28"/>
          <w:szCs w:val="28"/>
        </w:rPr>
        <w:t>个连接馆展示布局</w:t>
      </w:r>
    </w:p>
    <w:p>
      <w:pPr>
        <w:rPr>
          <w:rFonts w:ascii="微软雅黑" w:hAnsi="微软雅黑" w:eastAsia="微软雅黑"/>
          <w:sz w:val="24"/>
          <w:szCs w:val="24"/>
        </w:rPr>
      </w:pPr>
      <w:r>
        <w:rPr>
          <w:rFonts w:ascii="微软雅黑" w:hAnsi="微软雅黑" w:eastAsia="微软雅黑"/>
          <w:sz w:val="24"/>
          <w:szCs w:val="24"/>
        </w:rPr>
        <w:drawing>
          <wp:inline distT="0" distB="0" distL="0" distR="0">
            <wp:extent cx="6188075" cy="5688330"/>
            <wp:effectExtent l="0" t="0" r="317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88075" cy="5688330"/>
                    </a:xfrm>
                    <a:prstGeom prst="rect">
                      <a:avLst/>
                    </a:prstGeom>
                    <a:noFill/>
                    <a:ln>
                      <a:noFill/>
                    </a:ln>
                  </pic:spPr>
                </pic:pic>
              </a:graphicData>
            </a:graphic>
          </wp:inline>
        </w:drawing>
      </w:r>
    </w:p>
    <w:p>
      <w:pPr>
        <w:rPr>
          <w:rFonts w:ascii="微软雅黑" w:hAnsi="微软雅黑" w:eastAsia="微软雅黑"/>
          <w:sz w:val="24"/>
          <w:szCs w:val="24"/>
        </w:rPr>
        <w:sectPr>
          <w:type w:val="continuous"/>
          <w:pgSz w:w="11906" w:h="16838"/>
          <w:pgMar w:top="1440" w:right="1080" w:bottom="1440" w:left="1080" w:header="567" w:footer="992" w:gutter="0"/>
          <w:cols w:space="425" w:num="1"/>
          <w:docGrid w:type="lines" w:linePitch="312" w:charSpace="0"/>
        </w:sectPr>
      </w:pPr>
    </w:p>
    <w:p>
      <w:pPr>
        <w:snapToGrid w:val="0"/>
        <w:spacing w:before="120"/>
        <w:jc w:val="left"/>
        <w:rPr>
          <w:rFonts w:ascii="微软雅黑" w:hAnsi="微软雅黑" w:eastAsia="微软雅黑" w:cstheme="minorEastAsia"/>
          <w:b/>
          <w:sz w:val="28"/>
          <w:szCs w:val="28"/>
        </w:rPr>
      </w:pPr>
      <w:r>
        <w:rPr>
          <w:rFonts w:hint="eastAsia" w:ascii="微软雅黑" w:hAnsi="微软雅黑" w:eastAsia="微软雅黑" w:cstheme="minorEastAsia"/>
          <w:b/>
          <w:bCs/>
          <w:sz w:val="28"/>
          <w:szCs w:val="28"/>
        </w:rPr>
        <w:t>20</w:t>
      </w:r>
      <w:r>
        <w:rPr>
          <w:rFonts w:ascii="微软雅黑" w:hAnsi="微软雅黑" w:eastAsia="微软雅黑" w:cstheme="minorEastAsia"/>
          <w:b/>
          <w:bCs/>
          <w:sz w:val="28"/>
          <w:szCs w:val="28"/>
        </w:rPr>
        <w:t>24</w:t>
      </w:r>
      <w:r>
        <w:rPr>
          <w:rFonts w:hint="eastAsia" w:ascii="微软雅黑" w:hAnsi="微软雅黑" w:eastAsia="微软雅黑" w:cstheme="minorEastAsia"/>
          <w:b/>
          <w:bCs/>
          <w:sz w:val="28"/>
          <w:szCs w:val="28"/>
        </w:rPr>
        <w:t>CCBD</w:t>
      </w:r>
      <w:r>
        <w:rPr>
          <w:rFonts w:hint="eastAsia" w:ascii="微软雅黑" w:hAnsi="微软雅黑" w:eastAsia="微软雅黑" w:cstheme="minorEastAsia"/>
          <w:b/>
          <w:sz w:val="28"/>
          <w:szCs w:val="28"/>
        </w:rPr>
        <w:t>参展范围：</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b/>
          <w:bCs/>
          <w:sz w:val="22"/>
        </w:rPr>
        <w:t>门窗：</w:t>
      </w:r>
      <w:r>
        <w:rPr>
          <w:rFonts w:hint="eastAsia" w:ascii="微软雅黑" w:hAnsi="微软雅黑" w:eastAsia="微软雅黑" w:cstheme="minorEastAsia"/>
          <w:sz w:val="22"/>
        </w:rPr>
        <w:t>系统门窗、铝合金门窗、防盗门/入户门、铝型材、遮阳、密封胶、护栏、玻璃幕墙、门窗五金及设备等。</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b/>
          <w:bCs/>
          <w:sz w:val="22"/>
        </w:rPr>
        <w:t>智能家居：</w:t>
      </w:r>
      <w:r>
        <w:rPr>
          <w:rFonts w:hint="eastAsia" w:ascii="微软雅黑" w:hAnsi="微软雅黑" w:eastAsia="微软雅黑" w:cstheme="minorEastAsia"/>
          <w:sz w:val="22"/>
        </w:rPr>
        <w:t>智能锁、智能晾衣机、智能家居系统等。</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b/>
          <w:bCs/>
          <w:sz w:val="22"/>
        </w:rPr>
        <w:t>定制家居：</w:t>
      </w:r>
      <w:r>
        <w:rPr>
          <w:rFonts w:hint="eastAsia" w:ascii="微软雅黑" w:hAnsi="微软雅黑" w:eastAsia="微软雅黑" w:cstheme="minorEastAsia"/>
          <w:sz w:val="22"/>
        </w:rPr>
        <w:t>全屋定制、整体橱柜、整体衣柜、木门、移门、楼梯、板材及配套材料、五金配件、定制产品设计软件、机械设备等。</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b/>
          <w:bCs/>
          <w:sz w:val="22"/>
        </w:rPr>
        <w:t>墙面/吊顶/地材/软装：</w:t>
      </w:r>
      <w:r>
        <w:rPr>
          <w:rFonts w:hint="eastAsia" w:ascii="微软雅黑" w:hAnsi="微软雅黑" w:eastAsia="微软雅黑" w:cstheme="minorEastAsia"/>
          <w:sz w:val="22"/>
        </w:rPr>
        <w:t>涂料、吊顶及电器、集成墙面、美缝粘胶、墙纸墙布、窗帘、地面铺装、装饰线条、辅料及工具等。</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b/>
          <w:bCs/>
          <w:sz w:val="22"/>
        </w:rPr>
        <w:t>卫浴：</w:t>
      </w:r>
      <w:r>
        <w:rPr>
          <w:rFonts w:hint="eastAsia" w:ascii="微软雅黑" w:hAnsi="微软雅黑" w:eastAsia="微软雅黑" w:cstheme="minorEastAsia"/>
          <w:sz w:val="22"/>
        </w:rPr>
        <w:t>整体卫浴、浴室柜、淋浴房、马桶、五金挂件、龙头花洒、艺术盆、配件等。</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sz w:val="22"/>
        </w:rPr>
        <w:t>厨电：厨房电器、集成灶、厨房配套、高端家电等。</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b/>
          <w:bCs/>
          <w:sz w:val="22"/>
        </w:rPr>
        <w:t>暖通：</w:t>
      </w:r>
      <w:r>
        <w:rPr>
          <w:rFonts w:hint="eastAsia" w:ascii="微软雅黑" w:hAnsi="微软雅黑" w:eastAsia="微软雅黑" w:cstheme="minorEastAsia"/>
          <w:sz w:val="22"/>
        </w:rPr>
        <w:t>地暖、空气净化、空调通风、全屋热水、太阳能系统、壁挂炉及相关配套、三恒系统、净水设备等。</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b/>
          <w:bCs/>
          <w:sz w:val="22"/>
        </w:rPr>
        <w:t>装配式建筑：</w:t>
      </w:r>
      <w:r>
        <w:rPr>
          <w:rFonts w:hint="eastAsia" w:ascii="微软雅黑" w:hAnsi="微软雅黑" w:eastAsia="微软雅黑" w:cstheme="minorEastAsia"/>
          <w:sz w:val="22"/>
        </w:rPr>
        <w:t>装配式建筑钢/木/混凝土结构、集成住宅及配套设备、建筑模架、脚手架及建筑安全施工系统与设备、装配式内装工业化与装配化装修等。</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b/>
          <w:bCs/>
          <w:sz w:val="22"/>
        </w:rPr>
        <w:t>建筑新材料：</w:t>
      </w:r>
      <w:r>
        <w:rPr>
          <w:rFonts w:hint="eastAsia" w:ascii="微软雅黑" w:hAnsi="微软雅黑" w:eastAsia="微软雅黑" w:cstheme="minorEastAsia"/>
          <w:sz w:val="22"/>
        </w:rPr>
        <w:t>内外墙保温材料、建筑防水及屋面系统、建筑涂料、建筑陶瓷及岩板、落水系统、屋面材料及工业地坪等。</w:t>
      </w:r>
    </w:p>
    <w:p>
      <w:pPr>
        <w:snapToGrid w:val="0"/>
        <w:spacing w:before="120"/>
        <w:jc w:val="left"/>
        <w:rPr>
          <w:rFonts w:ascii="微软雅黑" w:hAnsi="微软雅黑" w:eastAsia="微软雅黑" w:cstheme="minorEastAsia"/>
          <w:b/>
          <w:sz w:val="28"/>
          <w:szCs w:val="28"/>
        </w:rPr>
      </w:pPr>
      <w:r>
        <w:rPr>
          <w:rFonts w:hint="eastAsia" w:ascii="微软雅黑" w:hAnsi="微软雅黑" w:eastAsia="微软雅黑" w:cstheme="minorEastAsia"/>
          <w:b/>
          <w:sz w:val="28"/>
          <w:szCs w:val="28"/>
        </w:rPr>
        <w:t>共享国际化平台、共拓中西部市场</w:t>
      </w:r>
    </w:p>
    <w:p>
      <w:pPr>
        <w:pStyle w:val="20"/>
        <w:numPr>
          <w:ilvl w:val="0"/>
          <w:numId w:val="1"/>
        </w:numPr>
        <w:snapToGrid w:val="0"/>
        <w:spacing w:before="120"/>
        <w:ind w:firstLineChars="0"/>
        <w:jc w:val="left"/>
        <w:rPr>
          <w:rFonts w:ascii="微软雅黑" w:hAnsi="微软雅黑" w:eastAsia="微软雅黑" w:cstheme="minorEastAsia"/>
          <w:b/>
          <w:bCs/>
          <w:sz w:val="22"/>
        </w:rPr>
      </w:pPr>
      <w:r>
        <w:rPr>
          <w:rFonts w:hint="eastAsia" w:ascii="微软雅黑" w:hAnsi="微软雅黑" w:eastAsia="微软雅黑" w:cstheme="minorEastAsia"/>
          <w:b/>
          <w:bCs/>
          <w:sz w:val="22"/>
        </w:rPr>
        <w:t>中国（成都）大家居建装行业旗舰展、全球展览业协会</w:t>
      </w:r>
      <w:r>
        <w:rPr>
          <w:rFonts w:ascii="微软雅黑" w:hAnsi="微软雅黑" w:eastAsia="微软雅黑" w:cstheme="minorEastAsia"/>
          <w:b/>
          <w:bCs/>
          <w:sz w:val="22"/>
        </w:rPr>
        <w:t>(UFI)</w:t>
      </w:r>
      <w:r>
        <w:rPr>
          <w:rFonts w:hint="eastAsia" w:ascii="微软雅黑" w:hAnsi="微软雅黑" w:eastAsia="微软雅黑" w:cstheme="minorEastAsia"/>
          <w:b/>
          <w:bCs/>
          <w:sz w:val="22"/>
        </w:rPr>
        <w:t>认证展会</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sz w:val="22"/>
        </w:rPr>
        <w:t>创办于2004年，是中西部地区举办时间长、规模大、展品全、新品多的大家居建装行业B2B商贸展会，展会规模已跃居全国同类展会前列。2019年11月，中国成都建博会正式获全球展览业协会（UFI）认证。</w:t>
      </w:r>
    </w:p>
    <w:p>
      <w:pPr>
        <w:pStyle w:val="20"/>
        <w:numPr>
          <w:ilvl w:val="0"/>
          <w:numId w:val="1"/>
        </w:numPr>
        <w:snapToGrid w:val="0"/>
        <w:spacing w:before="120"/>
        <w:ind w:firstLineChars="0"/>
        <w:jc w:val="left"/>
        <w:rPr>
          <w:rFonts w:ascii="微软雅黑" w:hAnsi="微软雅黑" w:eastAsia="微软雅黑" w:cstheme="minorEastAsia"/>
          <w:b/>
          <w:bCs/>
          <w:sz w:val="22"/>
        </w:rPr>
      </w:pPr>
      <w:r>
        <w:rPr>
          <w:rFonts w:hint="eastAsia" w:ascii="微软雅黑" w:hAnsi="微软雅黑" w:eastAsia="微软雅黑" w:cstheme="minorEastAsia"/>
          <w:b/>
          <w:bCs/>
          <w:sz w:val="22"/>
        </w:rPr>
        <w:t>无限商机的市场环境</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sz w:val="22"/>
        </w:rPr>
        <w:t>作为中西部经济文化中心，成都多年位居新一线城市榜首，同时也是成渝地区双城经济圈核心之一，目前市场需求量大，开发潜力强，辐射范围广，在国家鼓励扩大内需、推进西部大开发等政策支持下，大家居建装行业在中西部地区的发展蕴藏着巨大的商机，是企业商贸拓展的必争之地。</w:t>
      </w:r>
    </w:p>
    <w:p>
      <w:pPr>
        <w:pStyle w:val="20"/>
        <w:numPr>
          <w:ilvl w:val="0"/>
          <w:numId w:val="1"/>
        </w:numPr>
        <w:snapToGrid w:val="0"/>
        <w:spacing w:before="120"/>
        <w:ind w:firstLineChars="0"/>
        <w:jc w:val="left"/>
        <w:rPr>
          <w:rFonts w:ascii="微软雅黑" w:hAnsi="微软雅黑" w:eastAsia="微软雅黑" w:cstheme="minorEastAsia"/>
          <w:b/>
          <w:bCs/>
          <w:sz w:val="22"/>
        </w:rPr>
      </w:pPr>
      <w:r>
        <w:rPr>
          <w:rFonts w:hint="eastAsia" w:ascii="微软雅黑" w:hAnsi="微软雅黑" w:eastAsia="微软雅黑" w:cstheme="minorEastAsia"/>
          <w:b/>
          <w:bCs/>
          <w:sz w:val="22"/>
        </w:rPr>
        <w:t>产业联动——成渝携手推进大家居建装产业协同发展</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sz w:val="22"/>
        </w:rPr>
        <w:t>以成渝双城经济圈建设为契机，以成都和重庆为代表的核心城市形成了一条较为成熟、完整的家居产业链。其中，重庆以木门、五金、陶瓷等类别为主，成都以成品家具、全屋整装、门窗、浴室柜等类别为主，各自形成了重要的产业聚集地。成渝两地从上游原材料，到下游销售端紧密合作，粘连性强，推动了两地资源互补、优势互补。依托成渝地区的产业集群优势，继续在重庆地区打造CCBD中国重庆建博会形成“成渝双展“4月成都·10月重庆，为中西部地区大家居建装行业提供高效务实的B2B贸易平台。</w:t>
      </w:r>
    </w:p>
    <w:p>
      <w:pPr>
        <w:pStyle w:val="20"/>
        <w:numPr>
          <w:ilvl w:val="0"/>
          <w:numId w:val="1"/>
        </w:numPr>
        <w:snapToGrid w:val="0"/>
        <w:spacing w:before="120"/>
        <w:ind w:firstLineChars="0"/>
        <w:jc w:val="left"/>
        <w:rPr>
          <w:rFonts w:ascii="微软雅黑" w:hAnsi="微软雅黑" w:eastAsia="微软雅黑" w:cstheme="minorEastAsia"/>
          <w:b/>
          <w:bCs/>
          <w:sz w:val="22"/>
        </w:rPr>
      </w:pPr>
      <w:r>
        <w:rPr>
          <w:rFonts w:hint="eastAsia" w:ascii="微软雅黑" w:hAnsi="微软雅黑" w:eastAsia="微软雅黑" w:cstheme="minorEastAsia"/>
          <w:b/>
          <w:bCs/>
          <w:sz w:val="22"/>
        </w:rPr>
        <w:t>专业的会展主办方背景资源</w:t>
      </w:r>
    </w:p>
    <w:p>
      <w:pPr>
        <w:snapToGrid w:val="0"/>
        <w:spacing w:before="120"/>
        <w:jc w:val="left"/>
        <w:rPr>
          <w:rFonts w:ascii="微软雅黑" w:hAnsi="微软雅黑" w:eastAsia="微软雅黑" w:cstheme="minorEastAsia"/>
          <w:sz w:val="22"/>
        </w:rPr>
      </w:pPr>
      <w:r>
        <w:rPr>
          <w:rFonts w:hint="eastAsia" w:ascii="微软雅黑" w:hAnsi="微软雅黑" w:eastAsia="微软雅黑" w:cstheme="minorEastAsia"/>
          <w:sz w:val="22"/>
        </w:rPr>
        <w:t>Informa markets英富曼会展集团，每年在全球举办各类专业性展会超500场。英富曼集团将融入国际优势资源及集团旗下建材家居类展览项目的资源，进一步推动中国成都建博会国际化、品牌化、专业化发展，为中国最具生机与潜力的中西部地区建材家居市场提供更加全面的商业平台。</w:t>
      </w:r>
    </w:p>
    <w:p>
      <w:pPr>
        <w:rPr>
          <w:rFonts w:ascii="微软雅黑" w:hAnsi="微软雅黑" w:eastAsia="微软雅黑" w:cstheme="minorEastAsia"/>
          <w:b/>
          <w:bCs/>
          <w:sz w:val="28"/>
          <w:szCs w:val="28"/>
        </w:rPr>
      </w:pPr>
      <w:r>
        <w:rPr>
          <w:rFonts w:hint="eastAsia" w:ascii="微软雅黑" w:hAnsi="微软雅黑" w:eastAsia="微软雅黑" w:cstheme="minorEastAsia"/>
          <w:b/>
          <w:bCs/>
          <w:sz w:val="28"/>
          <w:szCs w:val="28"/>
        </w:rPr>
        <w:t>20</w:t>
      </w:r>
      <w:r>
        <w:rPr>
          <w:rFonts w:ascii="微软雅黑" w:hAnsi="微软雅黑" w:eastAsia="微软雅黑" w:cstheme="minorEastAsia"/>
          <w:b/>
          <w:bCs/>
          <w:sz w:val="28"/>
          <w:szCs w:val="28"/>
        </w:rPr>
        <w:t>24</w:t>
      </w:r>
      <w:r>
        <w:rPr>
          <w:rFonts w:hint="eastAsia" w:ascii="微软雅黑" w:hAnsi="微软雅黑" w:eastAsia="微软雅黑" w:cstheme="minorEastAsia"/>
          <w:b/>
          <w:bCs/>
          <w:sz w:val="28"/>
          <w:szCs w:val="28"/>
        </w:rPr>
        <w:t>CCBD参展费用</w:t>
      </w:r>
    </w:p>
    <w:tbl>
      <w:tblPr>
        <w:tblStyle w:val="6"/>
        <w:tblW w:w="9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559"/>
        <w:gridCol w:w="6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F09D19"/>
            <w:vAlign w:val="center"/>
          </w:tcPr>
          <w:p>
            <w:pPr>
              <w:jc w:val="center"/>
              <w:rPr>
                <w:rFonts w:ascii="微软雅黑" w:hAnsi="微软雅黑" w:eastAsia="微软雅黑" w:cstheme="minorEastAsia"/>
                <w:sz w:val="22"/>
              </w:rPr>
            </w:pPr>
            <w:r>
              <w:rPr>
                <w:rFonts w:hint="eastAsia" w:ascii="微软雅黑" w:hAnsi="微软雅黑" w:eastAsia="微软雅黑" w:cstheme="minorEastAsia"/>
                <w:sz w:val="22"/>
              </w:rPr>
              <w:t>展位类别</w:t>
            </w:r>
          </w:p>
        </w:tc>
        <w:tc>
          <w:tcPr>
            <w:tcW w:w="1559" w:type="dxa"/>
            <w:tcBorders>
              <w:top w:val="single" w:color="000000" w:sz="4" w:space="0"/>
              <w:left w:val="single" w:color="000000" w:sz="4" w:space="0"/>
              <w:bottom w:val="single" w:color="000000" w:sz="4" w:space="0"/>
              <w:right w:val="single" w:color="000000" w:sz="4" w:space="0"/>
            </w:tcBorders>
            <w:shd w:val="clear" w:color="auto" w:fill="F09D19"/>
            <w:vAlign w:val="center"/>
          </w:tcPr>
          <w:p>
            <w:pPr>
              <w:jc w:val="center"/>
              <w:rPr>
                <w:rFonts w:ascii="微软雅黑" w:hAnsi="微软雅黑" w:eastAsia="微软雅黑" w:cstheme="minorEastAsia"/>
                <w:sz w:val="22"/>
              </w:rPr>
            </w:pPr>
            <w:r>
              <w:rPr>
                <w:rFonts w:hint="eastAsia" w:ascii="微软雅黑" w:hAnsi="微软雅黑" w:eastAsia="微软雅黑" w:cstheme="minorEastAsia"/>
                <w:sz w:val="22"/>
              </w:rPr>
              <w:t>价格（元）</w:t>
            </w:r>
          </w:p>
        </w:tc>
        <w:tc>
          <w:tcPr>
            <w:tcW w:w="6213" w:type="dxa"/>
            <w:tcBorders>
              <w:top w:val="single" w:color="000000" w:sz="4" w:space="0"/>
              <w:left w:val="single" w:color="000000" w:sz="4" w:space="0"/>
              <w:bottom w:val="single" w:color="000000" w:sz="4" w:space="0"/>
              <w:right w:val="single" w:color="000000" w:sz="4" w:space="0"/>
            </w:tcBorders>
            <w:shd w:val="clear" w:color="auto" w:fill="F09D19"/>
            <w:vAlign w:val="center"/>
          </w:tcPr>
          <w:p>
            <w:pPr>
              <w:jc w:val="center"/>
              <w:rPr>
                <w:rFonts w:ascii="微软雅黑" w:hAnsi="微软雅黑" w:eastAsia="微软雅黑" w:cstheme="minorEastAsia"/>
                <w:sz w:val="22"/>
              </w:rPr>
            </w:pPr>
            <w:r>
              <w:rPr>
                <w:rFonts w:hint="eastAsia" w:ascii="微软雅黑" w:hAnsi="微软雅黑" w:eastAsia="微软雅黑" w:cstheme="minorEastAsia"/>
                <w:sz w:val="22"/>
              </w:rPr>
              <w:t>展位配置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theme="minorEastAsia"/>
                <w:sz w:val="22"/>
              </w:rPr>
            </w:pPr>
            <w:r>
              <w:rPr>
                <w:rFonts w:hint="eastAsia" w:ascii="微软雅黑" w:hAnsi="微软雅黑" w:eastAsia="微软雅黑" w:cstheme="minorEastAsia"/>
                <w:sz w:val="22"/>
              </w:rPr>
              <w:t>普通标准展位</w:t>
            </w:r>
          </w:p>
          <w:p>
            <w:pPr>
              <w:jc w:val="center"/>
              <w:rPr>
                <w:rFonts w:ascii="微软雅黑" w:hAnsi="微软雅黑" w:eastAsia="微软雅黑" w:cstheme="minorEastAsia"/>
                <w:sz w:val="22"/>
              </w:rPr>
            </w:pPr>
            <w:r>
              <w:rPr>
                <w:rFonts w:hint="eastAsia" w:ascii="微软雅黑" w:hAnsi="微软雅黑" w:eastAsia="微软雅黑" w:cstheme="minorEastAsia"/>
                <w:sz w:val="22"/>
              </w:rPr>
              <w:t>（3m*3m=9㎡）</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theme="minorEastAsia"/>
                <w:sz w:val="22"/>
              </w:rPr>
            </w:pPr>
            <w:r>
              <w:rPr>
                <w:rFonts w:ascii="微软雅黑" w:hAnsi="微软雅黑" w:eastAsia="微软雅黑" w:cstheme="minorEastAsia"/>
                <w:sz w:val="22"/>
              </w:rPr>
              <w:t>10800</w:t>
            </w:r>
            <w:r>
              <w:rPr>
                <w:rFonts w:hint="eastAsia" w:ascii="微软雅黑" w:hAnsi="微软雅黑" w:eastAsia="微软雅黑" w:cstheme="minorEastAsia"/>
                <w:sz w:val="22"/>
              </w:rPr>
              <w:t>元/个</w:t>
            </w:r>
          </w:p>
        </w:tc>
        <w:tc>
          <w:tcPr>
            <w:tcW w:w="62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微软雅黑" w:hAnsi="微软雅黑" w:eastAsia="微软雅黑" w:cstheme="minorEastAsia"/>
                <w:sz w:val="22"/>
              </w:rPr>
            </w:pPr>
            <w:r>
              <w:rPr>
                <w:rFonts w:hint="eastAsia" w:ascii="微软雅黑" w:hAnsi="微软雅黑" w:eastAsia="微软雅黑" w:cstheme="minorEastAsia"/>
                <w:sz w:val="22"/>
              </w:rPr>
              <w:t>展位高度2.5米，标配咨询桌1张、椅子</w:t>
            </w:r>
            <w:r>
              <w:rPr>
                <w:rFonts w:ascii="微软雅黑" w:hAnsi="微软雅黑" w:eastAsia="微软雅黑" w:cstheme="minorEastAsia"/>
                <w:sz w:val="22"/>
              </w:rPr>
              <w:t>2</w:t>
            </w:r>
            <w:r>
              <w:rPr>
                <w:rFonts w:hint="eastAsia" w:ascii="微软雅黑" w:hAnsi="微软雅黑" w:eastAsia="微软雅黑" w:cstheme="minorEastAsia"/>
                <w:sz w:val="22"/>
              </w:rPr>
              <w:t>把、普通楣板、电源插座1个、射灯2盏。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theme="minorEastAsia"/>
                <w:sz w:val="22"/>
              </w:rPr>
            </w:pPr>
            <w:r>
              <w:rPr>
                <w:rFonts w:hint="eastAsia" w:ascii="微软雅黑" w:hAnsi="微软雅黑" w:eastAsia="微软雅黑" w:cstheme="minorEastAsia"/>
                <w:sz w:val="22"/>
              </w:rPr>
              <w:t>豪华标准展位</w:t>
            </w:r>
          </w:p>
          <w:p>
            <w:pPr>
              <w:jc w:val="center"/>
              <w:rPr>
                <w:rFonts w:ascii="微软雅黑" w:hAnsi="微软雅黑" w:eastAsia="微软雅黑" w:cstheme="minorEastAsia"/>
                <w:sz w:val="22"/>
              </w:rPr>
            </w:pPr>
            <w:r>
              <w:rPr>
                <w:rFonts w:hint="eastAsia" w:ascii="微软雅黑" w:hAnsi="微软雅黑" w:eastAsia="微软雅黑" w:cstheme="minorEastAsia"/>
                <w:sz w:val="22"/>
              </w:rPr>
              <w:t>（3m*3m=9㎡）</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theme="minorEastAsia"/>
                <w:sz w:val="22"/>
              </w:rPr>
            </w:pPr>
            <w:r>
              <w:rPr>
                <w:rFonts w:ascii="微软雅黑" w:hAnsi="微软雅黑" w:eastAsia="微软雅黑" w:cstheme="minorEastAsia"/>
                <w:sz w:val="22"/>
              </w:rPr>
              <w:t>12800</w:t>
            </w:r>
            <w:r>
              <w:rPr>
                <w:rFonts w:hint="eastAsia" w:ascii="微软雅黑" w:hAnsi="微软雅黑" w:eastAsia="微软雅黑" w:cstheme="minorEastAsia"/>
                <w:sz w:val="22"/>
              </w:rPr>
              <w:t>元/个</w:t>
            </w:r>
          </w:p>
        </w:tc>
        <w:tc>
          <w:tcPr>
            <w:tcW w:w="62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微软雅黑" w:hAnsi="微软雅黑" w:eastAsia="微软雅黑" w:cstheme="minorEastAsia"/>
                <w:sz w:val="22"/>
              </w:rPr>
            </w:pPr>
            <w:r>
              <w:rPr>
                <w:rFonts w:hint="eastAsia" w:ascii="微软雅黑" w:hAnsi="微软雅黑" w:eastAsia="微软雅黑" w:cstheme="minorEastAsia"/>
                <w:sz w:val="22"/>
              </w:rPr>
              <w:t>展位升高至4米，标配咨询桌1张、展会椅子2把、玻璃洽谈圆桌1套、地毯9㎡、加高楣板、电源插座1个、射灯2盏。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theme="minorEastAsia"/>
                <w:sz w:val="22"/>
              </w:rPr>
            </w:pPr>
            <w:r>
              <w:rPr>
                <w:rFonts w:hint="eastAsia" w:ascii="微软雅黑" w:hAnsi="微软雅黑" w:eastAsia="微软雅黑" w:cstheme="minorEastAsia"/>
                <w:sz w:val="22"/>
              </w:rPr>
              <w:t>空地展位</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theme="minorEastAsia"/>
                <w:sz w:val="22"/>
              </w:rPr>
            </w:pPr>
            <w:r>
              <w:rPr>
                <w:rFonts w:ascii="微软雅黑" w:hAnsi="微软雅黑" w:eastAsia="微软雅黑" w:cstheme="minorEastAsia"/>
                <w:sz w:val="22"/>
              </w:rPr>
              <w:t>10</w:t>
            </w:r>
            <w:r>
              <w:rPr>
                <w:rFonts w:hint="eastAsia" w:ascii="微软雅黑" w:hAnsi="微软雅黑" w:eastAsia="微软雅黑" w:cstheme="minorEastAsia"/>
                <w:sz w:val="22"/>
              </w:rPr>
              <w:t>00元/㎡</w:t>
            </w:r>
          </w:p>
        </w:tc>
        <w:tc>
          <w:tcPr>
            <w:tcW w:w="62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微软雅黑" w:hAnsi="微软雅黑" w:eastAsia="微软雅黑" w:cstheme="minorEastAsia"/>
                <w:sz w:val="22"/>
              </w:rPr>
            </w:pPr>
            <w:r>
              <w:rPr>
                <w:rFonts w:hint="eastAsia" w:ascii="微软雅黑" w:hAnsi="微软雅黑" w:eastAsia="微软雅黑" w:cstheme="minorEastAsia"/>
                <w:sz w:val="22"/>
              </w:rPr>
              <w:t>36平米起定，无任何设施。</w:t>
            </w:r>
          </w:p>
        </w:tc>
      </w:tr>
    </w:tbl>
    <w:p>
      <w:pPr>
        <w:widowControl/>
        <w:spacing w:before="156" w:beforeLines="50" w:after="156" w:afterLines="50"/>
        <w:jc w:val="right"/>
        <w:rPr>
          <w:rFonts w:ascii="微软雅黑" w:hAnsi="微软雅黑" w:eastAsia="微软雅黑" w:cstheme="minorEastAsia"/>
          <w:b/>
          <w:bCs/>
          <w:sz w:val="18"/>
          <w:szCs w:val="18"/>
          <w:shd w:val="clear" w:color="auto" w:fill="FFFFFF"/>
        </w:rPr>
      </w:pPr>
      <w:r>
        <w:rPr>
          <w:rFonts w:hint="eastAsia" w:ascii="微软雅黑" w:hAnsi="微软雅黑" w:eastAsia="微软雅黑" w:cstheme="minorEastAsia"/>
          <w:b/>
          <w:bCs/>
          <w:sz w:val="18"/>
          <w:szCs w:val="18"/>
          <w:shd w:val="clear" w:color="auto" w:fill="FFFFFF"/>
        </w:rPr>
        <w:t>注：其它广告位及价格</w:t>
      </w:r>
      <w:bookmarkStart w:id="11" w:name="_Hlk489027958"/>
      <w:r>
        <w:rPr>
          <w:rFonts w:hint="eastAsia" w:ascii="微软雅黑" w:hAnsi="微软雅黑" w:eastAsia="微软雅黑" w:cstheme="minorEastAsia"/>
          <w:b/>
          <w:bCs/>
          <w:sz w:val="18"/>
          <w:szCs w:val="18"/>
          <w:shd w:val="clear" w:color="auto" w:fill="FFFFFF"/>
        </w:rPr>
        <w:t>资料另</w:t>
      </w:r>
      <w:bookmarkEnd w:id="11"/>
      <w:bookmarkStart w:id="12" w:name="_Hlk489534938"/>
      <w:r>
        <w:rPr>
          <w:rFonts w:hint="eastAsia" w:ascii="微软雅黑" w:hAnsi="微软雅黑" w:eastAsia="微软雅黑" w:cstheme="minorEastAsia"/>
          <w:b/>
          <w:bCs/>
          <w:sz w:val="18"/>
          <w:szCs w:val="18"/>
          <w:shd w:val="clear" w:color="auto" w:fill="FFFFFF"/>
        </w:rPr>
        <w:t>索</w:t>
      </w:r>
    </w:p>
    <w:p>
      <w:pPr>
        <w:snapToGrid w:val="0"/>
        <w:rPr>
          <w:rFonts w:ascii="微软雅黑" w:hAnsi="微软雅黑" w:eastAsia="微软雅黑" w:cstheme="minorEastAsia"/>
          <w:b/>
          <w:bCs/>
          <w:sz w:val="28"/>
          <w:szCs w:val="28"/>
        </w:rPr>
      </w:pPr>
      <w:r>
        <w:rPr>
          <w:rFonts w:ascii="微软雅黑" w:hAnsi="微软雅黑" w:eastAsia="微软雅黑" w:cstheme="minorEastAsia"/>
          <w:b/>
          <w:bCs/>
          <w:sz w:val="28"/>
          <w:szCs w:val="28"/>
        </w:rPr>
        <w:t>2023</w:t>
      </w:r>
      <w:r>
        <w:rPr>
          <w:rFonts w:hint="eastAsia" w:ascii="微软雅黑" w:hAnsi="微软雅黑" w:eastAsia="微软雅黑" w:cstheme="minorEastAsia"/>
          <w:b/>
          <w:bCs/>
          <w:sz w:val="28"/>
          <w:szCs w:val="28"/>
        </w:rPr>
        <w:t>CCBD展会回顾</w:t>
      </w:r>
    </w:p>
    <w:p>
      <w:pPr>
        <w:jc w:val="left"/>
        <w:rPr>
          <w:rFonts w:ascii="微软雅黑" w:hAnsi="微软雅黑" w:eastAsia="微软雅黑"/>
          <w:sz w:val="24"/>
          <w:szCs w:val="28"/>
        </w:rPr>
      </w:pPr>
      <w:r>
        <w:rPr>
          <w:rFonts w:hint="eastAsia" w:ascii="微软雅黑" w:hAnsi="微软雅黑" w:eastAsia="微软雅黑"/>
          <w:sz w:val="24"/>
          <w:szCs w:val="24"/>
        </w:rPr>
        <w:t>2023年4月19-21日，第二十二届中国（成都）建筑及装饰材料博览会（简称：中国成都建博会/CCBD）在成都·中国西部国际博览城成功举办圆满闭幕。来自全国各地的1754家建材大家居行业厂商带来了超40000款行业新品，展会三天迎来共计143152人次观众。据不完全统计，本次展会促成直接间接交易额超16亿元。本次展会盛况空前，对拉动中西部地区建材家居市场消费起到了重要作用。作为疫情开放后，西南地区建材行业首展，第二十二届中国成都建博会在展览面积、展商规模、观众人数等方面取得了关键突破，成为疫情三年里行业内为数不多连续正增长的展会。</w:t>
      </w:r>
      <w:r>
        <w:rPr>
          <w:rFonts w:hint="eastAsia"/>
        </w:rPr>
        <w:drawing>
          <wp:inline distT="0" distB="0" distL="0" distR="0">
            <wp:extent cx="6181090" cy="3490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8467" cy="3522855"/>
                    </a:xfrm>
                    <a:prstGeom prst="rect">
                      <a:avLst/>
                    </a:prstGeom>
                  </pic:spPr>
                </pic:pic>
              </a:graphicData>
            </a:graphic>
          </wp:inline>
        </w:drawing>
      </w:r>
    </w:p>
    <w:p>
      <w:pPr>
        <w:rPr>
          <w:rFonts w:ascii="微软雅黑" w:hAnsi="微软雅黑" w:eastAsia="微软雅黑"/>
          <w:sz w:val="24"/>
          <w:szCs w:val="28"/>
        </w:rPr>
      </w:pPr>
      <w:r>
        <w:rPr>
          <w:rFonts w:hint="eastAsia" w:ascii="微软雅黑" w:hAnsi="微软雅黑" w:eastAsia="微软雅黑"/>
          <w:sz w:val="24"/>
          <w:szCs w:val="28"/>
        </w:rPr>
        <w:t>详细展后报告请登陆官网：</w:t>
      </w:r>
      <w:r>
        <w:fldChar w:fldCharType="begin"/>
      </w:r>
      <w:r>
        <w:instrText xml:space="preserve"> HYPERLINK "http://www.cdjbh.cn" </w:instrText>
      </w:r>
      <w:r>
        <w:fldChar w:fldCharType="separate"/>
      </w:r>
      <w:r>
        <w:rPr>
          <w:rStyle w:val="11"/>
          <w:rFonts w:hint="eastAsia" w:ascii="微软雅黑" w:hAnsi="微软雅黑" w:eastAsia="微软雅黑"/>
          <w:color w:val="auto"/>
          <w:sz w:val="24"/>
          <w:szCs w:val="28"/>
        </w:rPr>
        <w:t>www.cdjbh.cn</w:t>
      </w:r>
      <w:r>
        <w:rPr>
          <w:rStyle w:val="11"/>
          <w:rFonts w:hint="eastAsia" w:ascii="微软雅黑" w:hAnsi="微软雅黑" w:eastAsia="微软雅黑"/>
          <w:color w:val="auto"/>
          <w:sz w:val="24"/>
          <w:szCs w:val="28"/>
        </w:rPr>
        <w:fldChar w:fldCharType="end"/>
      </w:r>
      <w:r>
        <w:rPr>
          <w:rFonts w:hint="eastAsia" w:ascii="微软雅黑" w:hAnsi="微软雅黑" w:eastAsia="微软雅黑"/>
          <w:sz w:val="24"/>
          <w:szCs w:val="28"/>
        </w:rPr>
        <w:t xml:space="preserve"> “资料下载“查看。</w:t>
      </w:r>
    </w:p>
    <w:p>
      <w:pPr>
        <w:rPr>
          <w:rFonts w:ascii="微软雅黑" w:hAnsi="微软雅黑" w:eastAsia="微软雅黑"/>
          <w:sz w:val="24"/>
          <w:szCs w:val="24"/>
        </w:rPr>
      </w:pPr>
      <w:r>
        <w:rPr>
          <w:rFonts w:hint="eastAsia" w:ascii="微软雅黑" w:hAnsi="微软雅黑" w:eastAsia="微软雅黑"/>
          <w:sz w:val="24"/>
          <w:szCs w:val="24"/>
        </w:rPr>
        <w:t>以下内容来源于2</w:t>
      </w:r>
      <w:r>
        <w:rPr>
          <w:rFonts w:ascii="微软雅黑" w:hAnsi="微软雅黑" w:eastAsia="微软雅黑"/>
          <w:sz w:val="24"/>
          <w:szCs w:val="24"/>
        </w:rPr>
        <w:t>023</w:t>
      </w:r>
      <w:r>
        <w:rPr>
          <w:rFonts w:hint="eastAsia" w:ascii="微软雅黑" w:hAnsi="微软雅黑" w:eastAsia="微软雅黑"/>
          <w:sz w:val="24"/>
          <w:szCs w:val="24"/>
        </w:rPr>
        <w:t>年第二十二届C</w:t>
      </w:r>
      <w:r>
        <w:rPr>
          <w:rFonts w:ascii="微软雅黑" w:hAnsi="微软雅黑" w:eastAsia="微软雅黑"/>
          <w:sz w:val="24"/>
          <w:szCs w:val="24"/>
        </w:rPr>
        <w:t>CBD</w:t>
      </w:r>
      <w:r>
        <w:rPr>
          <w:rFonts w:hint="eastAsia" w:ascii="微软雅黑" w:hAnsi="微软雅黑" w:eastAsia="微软雅黑"/>
          <w:sz w:val="24"/>
          <w:szCs w:val="24"/>
        </w:rPr>
        <w:t>中国成都建博会观众调研：</w:t>
      </w:r>
    </w:p>
    <w:p>
      <w:pPr>
        <w:ind w:left="240" w:hanging="240" w:hangingChars="100"/>
        <w:jc w:val="left"/>
        <w:rPr>
          <w:rFonts w:ascii="微软雅黑" w:hAnsi="微软雅黑" w:eastAsia="微软雅黑" w:cstheme="minorEastAsia"/>
          <w:b/>
          <w:bCs/>
          <w:sz w:val="32"/>
          <w:szCs w:val="32"/>
        </w:rPr>
      </w:pPr>
      <w:r>
        <w:rPr>
          <w:rFonts w:hint="eastAsia" w:ascii="微软雅黑" w:hAnsi="微软雅黑" w:eastAsia="微软雅黑" w:cstheme="minorEastAsia"/>
          <w:sz w:val="24"/>
          <w:szCs w:val="24"/>
        </w:rPr>
        <w:drawing>
          <wp:inline distT="0" distB="0" distL="114300" distR="114300">
            <wp:extent cx="5975350" cy="3891280"/>
            <wp:effectExtent l="0" t="0" r="6350" b="1397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rPr>
          <w:rFonts w:ascii="微软雅黑" w:hAnsi="微软雅黑" w:eastAsia="微软雅黑"/>
          <w:sz w:val="24"/>
          <w:szCs w:val="24"/>
        </w:rPr>
      </w:pPr>
      <w:r>
        <w:rPr>
          <w:rFonts w:hint="eastAsia" w:ascii="微软雅黑" w:hAnsi="微软雅黑" w:eastAsia="微软雅黑" w:cstheme="minorEastAsia"/>
          <w:b/>
          <w:bCs/>
          <w:sz w:val="32"/>
          <w:szCs w:val="32"/>
        </w:rPr>
        <w:drawing>
          <wp:inline distT="0" distB="0" distL="0" distR="0">
            <wp:extent cx="6102985" cy="4316730"/>
            <wp:effectExtent l="0" t="0" r="12065" b="762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rPr>
          <w:rFonts w:ascii="微软雅黑" w:hAnsi="微软雅黑" w:eastAsia="微软雅黑"/>
          <w:sz w:val="24"/>
          <w:szCs w:val="24"/>
        </w:rPr>
      </w:pPr>
    </w:p>
    <w:p>
      <w:pPr>
        <w:rPr>
          <w:rFonts w:ascii="微软雅黑" w:hAnsi="微软雅黑" w:eastAsia="微软雅黑"/>
          <w:sz w:val="24"/>
          <w:szCs w:val="28"/>
        </w:rPr>
      </w:pPr>
      <w:r>
        <w:rPr>
          <w:rFonts w:hint="eastAsia" w:ascii="微软雅黑" w:hAnsi="微软雅黑" w:eastAsia="微软雅黑"/>
          <w:sz w:val="24"/>
          <w:szCs w:val="24"/>
        </w:rPr>
        <w:t>2</w:t>
      </w:r>
      <w:r>
        <w:rPr>
          <w:rFonts w:ascii="微软雅黑" w:hAnsi="微软雅黑" w:eastAsia="微软雅黑"/>
          <w:sz w:val="24"/>
          <w:szCs w:val="24"/>
        </w:rPr>
        <w:t>023</w:t>
      </w:r>
      <w:r>
        <w:rPr>
          <w:rFonts w:hint="eastAsia" w:ascii="微软雅黑" w:hAnsi="微软雅黑" w:eastAsia="微软雅黑"/>
          <w:sz w:val="24"/>
          <w:szCs w:val="24"/>
        </w:rPr>
        <w:t>中国成都建博会现场盛况，展馆内外人头攒动、比肩接踵，现场洽谈沸沸扬扬、热火朝天。</w:t>
      </w:r>
    </w:p>
    <w:p>
      <w:pPr>
        <w:ind w:left="320" w:hanging="320" w:hangingChars="100"/>
        <w:jc w:val="left"/>
        <w:rPr>
          <w:rFonts w:ascii="微软雅黑" w:hAnsi="微软雅黑" w:eastAsia="微软雅黑" w:cstheme="minorEastAsia"/>
          <w:b/>
          <w:bCs/>
          <w:sz w:val="32"/>
          <w:szCs w:val="32"/>
        </w:rPr>
        <w:sectPr>
          <w:type w:val="continuous"/>
          <w:pgSz w:w="11906" w:h="16838"/>
          <w:pgMar w:top="1440" w:right="1080" w:bottom="1440" w:left="1080" w:header="567" w:footer="992" w:gutter="0"/>
          <w:cols w:space="425" w:num="1"/>
          <w:docGrid w:type="lines" w:linePitch="312" w:charSpace="0"/>
        </w:sectPr>
      </w:pPr>
    </w:p>
    <w:bookmarkEnd w:id="12"/>
    <w:p>
      <w:pPr>
        <w:widowControl/>
        <w:snapToGrid w:val="0"/>
        <w:jc w:val="center"/>
        <w:rPr>
          <w:rFonts w:ascii="微软雅黑" w:hAnsi="微软雅黑" w:eastAsia="微软雅黑" w:cstheme="minorEastAsia"/>
          <w:sz w:val="24"/>
          <w:szCs w:val="24"/>
        </w:rPr>
      </w:pPr>
    </w:p>
    <w:p>
      <w:pPr>
        <w:widowControl/>
        <w:snapToGrid w:val="0"/>
        <w:jc w:val="center"/>
        <w:rPr>
          <w:rFonts w:ascii="微软雅黑" w:hAnsi="微软雅黑" w:eastAsia="微软雅黑" w:cstheme="minorEastAsia"/>
          <w:sz w:val="24"/>
          <w:szCs w:val="24"/>
        </w:rPr>
      </w:pPr>
    </w:p>
    <w:p>
      <w:pPr>
        <w:widowControl/>
        <w:snapToGrid w:val="0"/>
        <w:jc w:val="center"/>
        <w:rPr>
          <w:rFonts w:hint="eastAsia" w:ascii="微软雅黑" w:hAnsi="微软雅黑" w:eastAsia="微软雅黑" w:cstheme="minorEastAsia"/>
          <w:b/>
          <w:sz w:val="24"/>
          <w:szCs w:val="24"/>
          <w:lang w:eastAsia="zh-CN"/>
        </w:rPr>
      </w:pPr>
      <w:r>
        <w:rPr>
          <w:rFonts w:hint="eastAsia" w:ascii="微软雅黑" w:hAnsi="微软雅黑" w:eastAsia="微软雅黑" w:cstheme="minorEastAsia"/>
          <w:b/>
          <w:sz w:val="24"/>
          <w:szCs w:val="24"/>
          <w:lang w:eastAsia="zh-CN"/>
        </w:rPr>
        <w:drawing>
          <wp:inline distT="0" distB="0" distL="114300" distR="114300">
            <wp:extent cx="6176010" cy="3208655"/>
            <wp:effectExtent l="0" t="0" r="15240" b="10795"/>
            <wp:docPr id="4" name="图片 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7"/>
                    <pic:cNvPicPr>
                      <a:picLocks noChangeAspect="1"/>
                    </pic:cNvPicPr>
                  </pic:nvPicPr>
                  <pic:blipFill>
                    <a:blip r:embed="rId10"/>
                    <a:stretch>
                      <a:fillRect/>
                    </a:stretch>
                  </pic:blipFill>
                  <pic:spPr>
                    <a:xfrm>
                      <a:off x="0" y="0"/>
                      <a:ext cx="6176010" cy="3208655"/>
                    </a:xfrm>
                    <a:prstGeom prst="rect">
                      <a:avLst/>
                    </a:prstGeom>
                  </pic:spPr>
                </pic:pic>
              </a:graphicData>
            </a:graphic>
          </wp:inline>
        </w:drawing>
      </w:r>
      <w:r>
        <w:rPr>
          <w:rFonts w:hint="eastAsia" w:ascii="微软雅黑" w:hAnsi="微软雅黑" w:eastAsia="微软雅黑" w:cstheme="minorEastAsia"/>
          <w:b/>
          <w:sz w:val="24"/>
          <w:szCs w:val="24"/>
          <w:lang w:eastAsia="zh-CN"/>
        </w:rPr>
        <w:drawing>
          <wp:inline distT="0" distB="0" distL="114300" distR="114300">
            <wp:extent cx="6183630" cy="3214370"/>
            <wp:effectExtent l="0" t="0" r="7620" b="5080"/>
            <wp:docPr id="7"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6"/>
                    <pic:cNvPicPr>
                      <a:picLocks noChangeAspect="1"/>
                    </pic:cNvPicPr>
                  </pic:nvPicPr>
                  <pic:blipFill>
                    <a:blip r:embed="rId11"/>
                    <a:stretch>
                      <a:fillRect/>
                    </a:stretch>
                  </pic:blipFill>
                  <pic:spPr>
                    <a:xfrm>
                      <a:off x="0" y="0"/>
                      <a:ext cx="6183630" cy="3214370"/>
                    </a:xfrm>
                    <a:prstGeom prst="rect">
                      <a:avLst/>
                    </a:prstGeom>
                  </pic:spPr>
                </pic:pic>
              </a:graphicData>
            </a:graphic>
          </wp:inline>
        </w:drawing>
      </w:r>
      <w:r>
        <w:rPr>
          <w:rFonts w:hint="eastAsia" w:ascii="微软雅黑" w:hAnsi="微软雅黑" w:eastAsia="微软雅黑" w:cstheme="minorEastAsia"/>
          <w:b/>
          <w:sz w:val="24"/>
          <w:szCs w:val="24"/>
          <w:lang w:eastAsia="zh-CN"/>
        </w:rPr>
        <w:drawing>
          <wp:inline distT="0" distB="0" distL="114300" distR="114300">
            <wp:extent cx="6183630" cy="3214370"/>
            <wp:effectExtent l="0" t="0" r="7620" b="5080"/>
            <wp:docPr id="10" name="图片 1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5"/>
                    <pic:cNvPicPr>
                      <a:picLocks noChangeAspect="1"/>
                    </pic:cNvPicPr>
                  </pic:nvPicPr>
                  <pic:blipFill>
                    <a:blip r:embed="rId12"/>
                    <a:stretch>
                      <a:fillRect/>
                    </a:stretch>
                  </pic:blipFill>
                  <pic:spPr>
                    <a:xfrm>
                      <a:off x="0" y="0"/>
                      <a:ext cx="6183630" cy="3214370"/>
                    </a:xfrm>
                    <a:prstGeom prst="rect">
                      <a:avLst/>
                    </a:prstGeom>
                  </pic:spPr>
                </pic:pic>
              </a:graphicData>
            </a:graphic>
          </wp:inline>
        </w:drawing>
      </w:r>
      <w:r>
        <w:rPr>
          <w:rFonts w:hint="eastAsia" w:ascii="微软雅黑" w:hAnsi="微软雅黑" w:eastAsia="微软雅黑" w:cstheme="minorEastAsia"/>
          <w:b/>
          <w:sz w:val="24"/>
          <w:szCs w:val="24"/>
          <w:lang w:eastAsia="zh-CN"/>
        </w:rPr>
        <w:drawing>
          <wp:inline distT="0" distB="0" distL="114300" distR="114300">
            <wp:extent cx="6188710" cy="3216275"/>
            <wp:effectExtent l="0" t="0" r="2540" b="3175"/>
            <wp:docPr id="11"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8"/>
                    <pic:cNvPicPr>
                      <a:picLocks noChangeAspect="1"/>
                    </pic:cNvPicPr>
                  </pic:nvPicPr>
                  <pic:blipFill>
                    <a:blip r:embed="rId13"/>
                    <a:stretch>
                      <a:fillRect/>
                    </a:stretch>
                  </pic:blipFill>
                  <pic:spPr>
                    <a:xfrm>
                      <a:off x="0" y="0"/>
                      <a:ext cx="6188710" cy="3216275"/>
                    </a:xfrm>
                    <a:prstGeom prst="rect">
                      <a:avLst/>
                    </a:prstGeom>
                  </pic:spPr>
                </pic:pic>
              </a:graphicData>
            </a:graphic>
          </wp:inline>
        </w:drawing>
      </w:r>
      <w:bookmarkStart w:id="14" w:name="_GoBack"/>
      <w:bookmarkEnd w:id="14"/>
    </w:p>
    <w:p>
      <w:pPr>
        <w:widowControl/>
        <w:snapToGrid w:val="0"/>
        <w:jc w:val="left"/>
        <w:rPr>
          <w:rFonts w:ascii="微软雅黑" w:hAnsi="微软雅黑" w:eastAsia="微软雅黑" w:cstheme="minorEastAsia"/>
          <w:b/>
          <w:sz w:val="24"/>
          <w:szCs w:val="24"/>
        </w:rPr>
      </w:pPr>
    </w:p>
    <w:p>
      <w:pPr>
        <w:widowControl/>
        <w:snapToGrid w:val="0"/>
        <w:jc w:val="left"/>
        <w:rPr>
          <w:rFonts w:ascii="微软雅黑" w:hAnsi="微软雅黑" w:eastAsia="微软雅黑"/>
          <w:bCs/>
          <w:sz w:val="24"/>
          <w:szCs w:val="24"/>
        </w:rPr>
      </w:pPr>
      <w:r>
        <w:rPr>
          <w:rFonts w:hint="eastAsia" w:ascii="微软雅黑" w:hAnsi="微软雅黑" w:eastAsia="微软雅黑" w:cstheme="minorEastAsia"/>
          <w:sz w:val="24"/>
          <w:szCs w:val="24"/>
        </w:rPr>
        <w:drawing>
          <wp:anchor distT="0" distB="0" distL="114300" distR="114300" simplePos="0" relativeHeight="251660288" behindDoc="0" locked="0" layoutInCell="1" allowOverlap="1">
            <wp:simplePos x="0" y="0"/>
            <wp:positionH relativeFrom="column">
              <wp:posOffset>4772025</wp:posOffset>
            </wp:positionH>
            <wp:positionV relativeFrom="paragraph">
              <wp:posOffset>199390</wp:posOffset>
            </wp:positionV>
            <wp:extent cx="1285875" cy="1357630"/>
            <wp:effectExtent l="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5875" cy="1357630"/>
                    </a:xfrm>
                    <a:prstGeom prst="rect">
                      <a:avLst/>
                    </a:prstGeom>
                    <a:noFill/>
                    <a:ln>
                      <a:noFill/>
                    </a:ln>
                  </pic:spPr>
                </pic:pic>
              </a:graphicData>
            </a:graphic>
          </wp:anchor>
        </w:drawing>
      </w:r>
      <w:r>
        <w:rPr>
          <w:rFonts w:hint="eastAsia" w:ascii="微软雅黑" w:hAnsi="微软雅黑" w:eastAsia="微软雅黑" w:cstheme="minorEastAsia"/>
          <w:sz w:val="24"/>
          <w:szCs w:val="24"/>
        </w:rPr>
        <w:drawing>
          <wp:anchor distT="0" distB="0" distL="114300" distR="114300" simplePos="0" relativeHeight="251659264" behindDoc="0" locked="0" layoutInCell="1" allowOverlap="1">
            <wp:simplePos x="0" y="0"/>
            <wp:positionH relativeFrom="column">
              <wp:posOffset>3048000</wp:posOffset>
            </wp:positionH>
            <wp:positionV relativeFrom="paragraph">
              <wp:posOffset>119380</wp:posOffset>
            </wp:positionV>
            <wp:extent cx="1457325" cy="1457325"/>
            <wp:effectExtent l="0" t="0" r="9525"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anchor>
        </w:drawing>
      </w:r>
      <w:r>
        <w:rPr>
          <w:rFonts w:hint="eastAsia" w:ascii="微软雅黑" w:hAnsi="微软雅黑" w:eastAsia="微软雅黑" w:cstheme="minorEastAsia"/>
          <w:b/>
          <w:sz w:val="24"/>
          <w:szCs w:val="24"/>
        </w:rPr>
        <w:t>联系方式</w:t>
      </w:r>
    </w:p>
    <w:p>
      <w:pPr>
        <w:snapToGrid w:val="0"/>
        <w:rPr>
          <w:rFonts w:ascii="微软雅黑" w:hAnsi="微软雅黑" w:eastAsia="微软雅黑" w:cstheme="minorEastAsia"/>
          <w:sz w:val="24"/>
          <w:szCs w:val="24"/>
        </w:rPr>
      </w:pPr>
      <w:r>
        <w:rPr>
          <w:rFonts w:hint="eastAsia" w:ascii="微软雅黑" w:hAnsi="微软雅黑" w:eastAsia="微软雅黑" w:cstheme="minorEastAsia"/>
          <w:sz w:val="24"/>
          <w:szCs w:val="24"/>
        </w:rPr>
        <w:t>英富曼天一展览（成都）有限公司</w:t>
      </w:r>
    </w:p>
    <w:p>
      <w:pPr>
        <w:snapToGrid w:val="0"/>
        <w:rPr>
          <w:rFonts w:ascii="微软雅黑" w:hAnsi="微软雅黑" w:eastAsia="微软雅黑" w:cstheme="minorEastAsia"/>
          <w:sz w:val="24"/>
          <w:szCs w:val="24"/>
        </w:rPr>
      </w:pPr>
      <w:r>
        <w:rPr>
          <w:rFonts w:hint="eastAsia" w:ascii="微软雅黑" w:hAnsi="微软雅黑" w:eastAsia="微软雅黑" w:cstheme="minorEastAsia"/>
          <w:sz w:val="24"/>
          <w:szCs w:val="24"/>
        </w:rPr>
        <w:t>地址：成都市人民南路四段19号威斯</w:t>
      </w:r>
    </w:p>
    <w:p>
      <w:pPr>
        <w:snapToGrid w:val="0"/>
        <w:ind w:firstLine="720" w:firstLineChars="300"/>
        <w:rPr>
          <w:rFonts w:ascii="微软雅黑" w:hAnsi="微软雅黑" w:eastAsia="微软雅黑" w:cstheme="minorEastAsia"/>
          <w:kern w:val="0"/>
          <w:sz w:val="24"/>
          <w:szCs w:val="24"/>
        </w:rPr>
      </w:pPr>
      <w:r>
        <w:rPr>
          <w:rFonts w:hint="eastAsia" w:ascii="微软雅黑" w:hAnsi="微软雅黑" w:eastAsia="微软雅黑" w:cstheme="minorEastAsia"/>
          <w:sz w:val="24"/>
          <w:szCs w:val="24"/>
        </w:rPr>
        <w:t>顿联邦大厦</w:t>
      </w:r>
      <w:r>
        <w:rPr>
          <w:rFonts w:hint="eastAsia" w:ascii="微软雅黑" w:hAnsi="微软雅黑" w:eastAsia="微软雅黑" w:cstheme="minorEastAsia"/>
          <w:kern w:val="0"/>
          <w:sz w:val="24"/>
          <w:szCs w:val="24"/>
        </w:rPr>
        <w:t>1022号</w:t>
      </w:r>
    </w:p>
    <w:p>
      <w:pPr>
        <w:snapToGrid w:val="0"/>
        <w:rPr>
          <w:rFonts w:ascii="微软雅黑" w:hAnsi="微软雅黑" w:eastAsia="微软雅黑" w:cstheme="minorEastAsia"/>
          <w:sz w:val="24"/>
          <w:szCs w:val="24"/>
        </w:rPr>
      </w:pPr>
      <w:r>
        <w:rPr>
          <w:rFonts w:hint="eastAsia" w:ascii="微软雅黑" w:hAnsi="微软雅黑" w:eastAsia="微软雅黑" w:cstheme="minorEastAsia"/>
          <w:sz w:val="24"/>
          <w:szCs w:val="24"/>
        </w:rPr>
        <w:t xml:space="preserve">网址：www.cdjbh.cn         </w:t>
      </w:r>
    </w:p>
    <w:p>
      <w:pPr>
        <w:snapToGrid w:val="0"/>
        <w:rPr>
          <w:rFonts w:ascii="微软雅黑" w:hAnsi="微软雅黑" w:eastAsia="微软雅黑" w:cstheme="minorEastAsia"/>
          <w:sz w:val="24"/>
          <w:szCs w:val="24"/>
        </w:rPr>
      </w:pPr>
      <w:r>
        <w:rPr>
          <w:rFonts w:hint="eastAsia" w:ascii="微软雅黑" w:hAnsi="微软雅黑" w:eastAsia="微软雅黑" w:cstheme="minorEastAsia"/>
          <w:sz w:val="24"/>
          <w:szCs w:val="24"/>
        </w:rPr>
        <w:t>电话：028-</w:t>
      </w:r>
      <w:bookmarkStart w:id="13" w:name="_Hlk489262590"/>
      <w:r>
        <w:rPr>
          <w:rFonts w:hint="eastAsia" w:ascii="微软雅黑" w:hAnsi="微软雅黑" w:eastAsia="微软雅黑" w:cstheme="minorEastAsia"/>
          <w:sz w:val="24"/>
          <w:szCs w:val="24"/>
        </w:rPr>
        <w:t>6</w:t>
      </w:r>
      <w:bookmarkEnd w:id="13"/>
      <w:r>
        <w:rPr>
          <w:rFonts w:ascii="微软雅黑" w:hAnsi="微软雅黑" w:eastAsia="微软雅黑" w:cstheme="minorEastAsia"/>
          <w:sz w:val="24"/>
          <w:szCs w:val="24"/>
        </w:rPr>
        <w:t>7936034</w:t>
      </w:r>
    </w:p>
    <w:p>
      <w:pPr>
        <w:snapToGrid w:val="0"/>
        <w:jc w:val="left"/>
        <w:rPr>
          <w:rFonts w:ascii="微软雅黑" w:hAnsi="微软雅黑" w:eastAsia="微软雅黑" w:cstheme="minorEastAsia"/>
          <w:sz w:val="24"/>
          <w:szCs w:val="24"/>
        </w:rPr>
      </w:pPr>
      <w:r>
        <w:rPr>
          <w:rFonts w:hint="eastAsia" w:ascii="微软雅黑" w:hAnsi="微软雅黑" w:eastAsia="微软雅黑" w:cstheme="minorEastAsia"/>
          <w:sz w:val="24"/>
          <w:szCs w:val="24"/>
        </w:rPr>
        <w:t>联系人：吕小姐1</w:t>
      </w:r>
      <w:r>
        <w:rPr>
          <w:rFonts w:ascii="微软雅黑" w:hAnsi="微软雅黑" w:eastAsia="微软雅黑" w:cstheme="minorEastAsia"/>
          <w:sz w:val="24"/>
          <w:szCs w:val="24"/>
        </w:rPr>
        <w:t>7381825072</w:t>
      </w:r>
      <w:r>
        <w:rPr>
          <w:rFonts w:hint="eastAsia" w:ascii="微软雅黑" w:hAnsi="微软雅黑" w:eastAsia="微软雅黑" w:cstheme="minorEastAsia"/>
          <w:sz w:val="24"/>
          <w:szCs w:val="24"/>
        </w:rPr>
        <w:t xml:space="preserve">（微信同号） 成都建博会公众微信      </w:t>
      </w:r>
      <w:r>
        <w:rPr>
          <w:rFonts w:ascii="微软雅黑" w:hAnsi="微软雅黑" w:eastAsia="微软雅黑" w:cstheme="minorEastAsia"/>
          <w:sz w:val="24"/>
          <w:szCs w:val="24"/>
        </w:rPr>
        <w:t xml:space="preserve"> </w:t>
      </w:r>
      <w:r>
        <w:rPr>
          <w:rFonts w:hint="eastAsia" w:ascii="微软雅黑" w:hAnsi="微软雅黑" w:eastAsia="微软雅黑" w:cstheme="minorEastAsia"/>
          <w:sz w:val="24"/>
          <w:szCs w:val="24"/>
        </w:rPr>
        <w:t xml:space="preserve"> 官方抖音号</w:t>
      </w:r>
    </w:p>
    <w:p>
      <w:pPr>
        <w:rPr>
          <w:rFonts w:hint="eastAsia" w:ascii="微软雅黑" w:hAnsi="微软雅黑" w:eastAsia="微软雅黑"/>
        </w:rPr>
      </w:pPr>
      <w:r>
        <w:rPr>
          <w:rFonts w:hint="eastAsia" w:ascii="微软雅黑" w:hAnsi="微软雅黑" w:eastAsia="微软雅黑"/>
        </w:rPr>
        <w:t>参展报名链接：</w:t>
      </w:r>
      <w:r>
        <w:rPr>
          <w:rFonts w:ascii="微软雅黑" w:hAnsi="微软雅黑" w:eastAsia="微软雅黑"/>
        </w:rPr>
        <w:t>http://yfmtyccbd.mikecrm.com/4QDjfSo</w:t>
      </w:r>
    </w:p>
    <w:sectPr>
      <w:type w:val="continuous"/>
      <w:pgSz w:w="11906" w:h="16838"/>
      <w:pgMar w:top="590" w:right="1080" w:bottom="590" w:left="108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Rockwell">
    <w:altName w:val="Segoe Print"/>
    <w:panose1 w:val="02060603020205020403"/>
    <w:charset w:val="00"/>
    <w:family w:val="roman"/>
    <w:pitch w:val="default"/>
    <w:sig w:usb0="00000000" w:usb1="00000000" w:usb2="00000000" w:usb3="00000000" w:csb0="00000003" w:csb1="00000000"/>
  </w:font>
  <w:font w:name="Courier New">
    <w:panose1 w:val="02070309020205020404"/>
    <w:charset w:val="00"/>
    <w:family w:val="modern"/>
    <w:pitch w:val="default"/>
    <w:sig w:usb0="E0002E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10234930</wp:posOffset>
              </wp:positionV>
              <wp:extent cx="7560310" cy="266700"/>
              <wp:effectExtent l="0" t="0" r="0" b="0"/>
              <wp:wrapNone/>
              <wp:docPr id="2" name="MSIPCM05bd4589b1d39d066aa16464"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wps:spPr>
                    <wps:txbx>
                      <w:txbxContent>
                        <w:p>
                          <w:pPr>
                            <w:jc w:val="left"/>
                            <w:rPr>
                              <w:rFonts w:ascii="Rockwell" w:hAnsi="Rockwell"/>
                              <w:color w:val="0078D7"/>
                              <w:sz w:val="18"/>
                            </w:rPr>
                          </w:pPr>
                          <w:r>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 id="MSIPCM05bd4589b1d39d066aa16464" o:spid="_x0000_s1026" o:spt="202" alt="{&quot;HashCode&quot;:-1348403003,&quot;Height&quot;:841.0,&quot;Width&quot;:595.0,&quot;Placement&quot;:&quot;Footer&quot;,&quot;Index&quot;:&quot;Primary&quot;,&quot;Section&quot;:1,&quot;Top&quot;:0.0,&quot;Left&quot;:0.0}" type="#_x0000_t202" style="position:absolute;left:0pt;margin-left:0pt;margin-top:805.9pt;height:21pt;width:595.3pt;mso-position-horizontal-relative:page;mso-position-vertical-relative:page;z-index:251659264;v-text-anchor:bottom;mso-width-relative:page;mso-height-relative:page;" filled="f" stroked="f" coordsize="21600,21600" o:allowincell="f" o:gfxdata="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&#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U0jDs1wAAAAsBAAAPAAAAAAAAAAEAIAAAACIAAABk&#10;cnMvZG93bnJldi54bWxQSwECFAAUAAAACACHTuJAK4Uph7ICAABcBQAADgAAAAAAAAABACAAAAAm&#10;AQAAZHJzL2Uyb0RvYy54bWxQSwUGAAAAAAYABgBZAQAASgYAAAAA&#10;">
              <v:fill on="f" focussize="0,0"/>
              <v:stroke on="f" weight="0.5pt"/>
              <v:imagedata o:title=""/>
              <o:lock v:ext="edit" aspectratio="f"/>
              <v:textbox inset="20pt,0mm,2.54mm,0mm">
                <w:txbxContent>
                  <w:p>
                    <w:pPr>
                      <w:jc w:val="left"/>
                      <w:rPr>
                        <w:rFonts w:ascii="Rockwell" w:hAnsi="Rockwell"/>
                        <w:color w:val="0078D7"/>
                        <w:sz w:val="18"/>
                      </w:rPr>
                    </w:pPr>
                    <w:r>
                      <w:rPr>
                        <w:rFonts w:ascii="Rockwell" w:hAnsi="Rockwell"/>
                        <w:color w:val="0078D7"/>
                        <w:sz w:val="18"/>
                      </w:rPr>
                      <w:t>Information Classification: General</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501"/>
        <w:tab w:val="left" w:pos="3848"/>
        <w:tab w:val="right" w:pos="9746"/>
      </w:tabs>
      <w:jc w:val="right"/>
      <w:rPr>
        <w:rFonts w:asciiTheme="minorEastAsia" w:hAnsiTheme="minorEastAsia" w:cstheme="minorEastAsia"/>
        <w:szCs w:val="21"/>
      </w:rPr>
    </w:pPr>
    <w:r>
      <w:rPr>
        <w:rFonts w:hint="eastAsia" w:asciiTheme="minorEastAsia" w:hAnsiTheme="minorEastAsia" w:cstheme="minorEastAsia"/>
        <w:b/>
        <w:bCs/>
        <w:szCs w:val="21"/>
      </w:rPr>
      <w:t>中西部地区</w:t>
    </w:r>
    <w:r>
      <w:rPr>
        <w:rFonts w:asciiTheme="minorEastAsia" w:hAnsiTheme="minorEastAsia" w:cstheme="minorEastAsia"/>
        <w:b/>
        <w:bCs/>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1905</wp:posOffset>
          </wp:positionV>
          <wp:extent cx="1554480" cy="3048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54483" cy="304801"/>
                  </a:xfrm>
                  <a:prstGeom prst="rect">
                    <a:avLst/>
                  </a:prstGeom>
                </pic:spPr>
              </pic:pic>
            </a:graphicData>
          </a:graphic>
        </wp:anchor>
      </w:drawing>
    </w:r>
    <w:r>
      <w:rPr>
        <w:rFonts w:hint="eastAsia" w:asciiTheme="minorEastAsia" w:hAnsiTheme="minorEastAsia" w:cstheme="minorEastAsia"/>
        <w:b/>
        <w:bCs/>
        <w:szCs w:val="21"/>
      </w:rPr>
      <w:t>大家居建装行业“经销代理”和“公装集采”优选商贸平台</w:t>
    </w:r>
  </w:p>
  <w:p>
    <w:pPr>
      <w:pBdr>
        <w:bottom w:val="double" w:color="808080" w:sz="8" w:space="0"/>
      </w:pBdr>
      <w:jc w:val="right"/>
      <w:rPr>
        <w:b/>
        <w:bCs/>
      </w:rPr>
    </w:pPr>
    <w:r>
      <w:rPr>
        <w:rFonts w:asciiTheme="minorEastAsia" w:hAnsiTheme="minorEastAsia" w:cstheme="minorEastAsia"/>
        <w:szCs w:val="21"/>
      </w:rPr>
      <w:t>16</w:t>
    </w:r>
    <w:r>
      <w:rPr>
        <w:rFonts w:hint="eastAsia" w:asciiTheme="minorEastAsia" w:hAnsiTheme="minorEastAsia" w:cstheme="minorEastAsia"/>
        <w:szCs w:val="21"/>
      </w:rPr>
      <w:t>万㎡展览面积·预计</w:t>
    </w:r>
    <w:r>
      <w:rPr>
        <w:rFonts w:asciiTheme="minorEastAsia" w:hAnsiTheme="minorEastAsia" w:cstheme="minorEastAsia"/>
        <w:szCs w:val="21"/>
      </w:rPr>
      <w:t>20</w:t>
    </w:r>
    <w:r>
      <w:rPr>
        <w:rFonts w:hint="eastAsia" w:asciiTheme="minorEastAsia" w:hAnsiTheme="minorEastAsia" w:cstheme="minorEastAsia"/>
        <w:szCs w:val="21"/>
      </w:rPr>
      <w:t>00</w:t>
    </w:r>
    <w:r>
      <w:rPr>
        <w:rFonts w:hint="eastAsia" w:asciiTheme="minorEastAsia" w:hAnsiTheme="minorEastAsia" w:cstheme="minorEastAsia"/>
        <w:szCs w:val="21"/>
        <w:vertAlign w:val="superscript"/>
      </w:rPr>
      <w:t>+</w:t>
    </w:r>
    <w:r>
      <w:rPr>
        <w:rFonts w:hint="eastAsia" w:asciiTheme="minorEastAsia" w:hAnsiTheme="minorEastAsia" w:cstheme="minorEastAsia"/>
        <w:szCs w:val="21"/>
      </w:rPr>
      <w:t>展商、1</w:t>
    </w:r>
    <w:r>
      <w:rPr>
        <w:rFonts w:asciiTheme="minorEastAsia" w:hAnsiTheme="minorEastAsia" w:cstheme="minorEastAsia"/>
        <w:szCs w:val="21"/>
      </w:rPr>
      <w:t>8</w:t>
    </w:r>
    <w:r>
      <w:rPr>
        <w:rFonts w:hint="eastAsia" w:asciiTheme="minorEastAsia" w:hAnsiTheme="minorEastAsia" w:cstheme="minorEastAsia"/>
        <w:szCs w:val="21"/>
      </w:rPr>
      <w:t>0000</w:t>
    </w:r>
    <w:r>
      <w:rPr>
        <w:rFonts w:hint="eastAsia" w:asciiTheme="minorEastAsia" w:hAnsiTheme="minorEastAsia" w:cstheme="minorEastAsia"/>
        <w:szCs w:val="21"/>
        <w:vertAlign w:val="superscript"/>
      </w:rPr>
      <w:t>+</w:t>
    </w:r>
    <w:r>
      <w:rPr>
        <w:rFonts w:hint="eastAsia" w:asciiTheme="minorEastAsia" w:hAnsiTheme="minorEastAsia" w:cstheme="minorEastAsia"/>
        <w:szCs w:val="21"/>
      </w:rPr>
      <w:t>人次观众、</w:t>
    </w:r>
    <w:r>
      <w:rPr>
        <w:rFonts w:asciiTheme="minorEastAsia" w:hAnsiTheme="minorEastAsia" w:cstheme="minorEastAsia"/>
        <w:szCs w:val="21"/>
      </w:rPr>
      <w:t>50</w:t>
    </w:r>
    <w:r>
      <w:rPr>
        <w:rFonts w:asciiTheme="minorEastAsia" w:hAnsiTheme="minorEastAsia" w:cstheme="minorEastAsia"/>
        <w:szCs w:val="21"/>
        <w:vertAlign w:val="superscript"/>
      </w:rPr>
      <w:t>+</w:t>
    </w:r>
    <w:r>
      <w:rPr>
        <w:rFonts w:hint="eastAsia" w:asciiTheme="minorEastAsia" w:hAnsiTheme="minorEastAsia" w:cstheme="minorEastAsia"/>
        <w:szCs w:val="21"/>
      </w:rPr>
      <w:t>场论坛活动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2E6C4F"/>
    <w:multiLevelType w:val="multilevel"/>
    <w:tmpl w:val="682E6C4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cumentProtection w:enforcement="0"/>
  <w:defaultTabStop w:val="420"/>
  <w:drawingGridHorizontalSpacing w:val="105"/>
  <w:drawingGridVerticalSpacing w:val="14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wMGRlYjM5YzNmMDU4ZDc2YjdlNzQ1YmJkZDhiNjIifQ=="/>
  </w:docVars>
  <w:rsids>
    <w:rsidRoot w:val="00E56B26"/>
    <w:rsid w:val="00000674"/>
    <w:rsid w:val="0000367A"/>
    <w:rsid w:val="00004A1B"/>
    <w:rsid w:val="00006319"/>
    <w:rsid w:val="00006B5B"/>
    <w:rsid w:val="0000739E"/>
    <w:rsid w:val="00007E83"/>
    <w:rsid w:val="000102FD"/>
    <w:rsid w:val="000123A2"/>
    <w:rsid w:val="00013048"/>
    <w:rsid w:val="00013C55"/>
    <w:rsid w:val="0001546C"/>
    <w:rsid w:val="00017E32"/>
    <w:rsid w:val="00020240"/>
    <w:rsid w:val="000207CB"/>
    <w:rsid w:val="00021854"/>
    <w:rsid w:val="00021C44"/>
    <w:rsid w:val="0002261F"/>
    <w:rsid w:val="00022A2D"/>
    <w:rsid w:val="0002341C"/>
    <w:rsid w:val="00024B64"/>
    <w:rsid w:val="00024DA3"/>
    <w:rsid w:val="00025CE5"/>
    <w:rsid w:val="0002776B"/>
    <w:rsid w:val="000309EC"/>
    <w:rsid w:val="000316E4"/>
    <w:rsid w:val="0003197F"/>
    <w:rsid w:val="00031E47"/>
    <w:rsid w:val="000320A5"/>
    <w:rsid w:val="000325CB"/>
    <w:rsid w:val="00032608"/>
    <w:rsid w:val="00032D65"/>
    <w:rsid w:val="00034B6E"/>
    <w:rsid w:val="00034F09"/>
    <w:rsid w:val="00036465"/>
    <w:rsid w:val="000379AF"/>
    <w:rsid w:val="00040A7E"/>
    <w:rsid w:val="00041F05"/>
    <w:rsid w:val="00042C4C"/>
    <w:rsid w:val="00046605"/>
    <w:rsid w:val="00046DD6"/>
    <w:rsid w:val="00047449"/>
    <w:rsid w:val="0005161C"/>
    <w:rsid w:val="00052052"/>
    <w:rsid w:val="0005278F"/>
    <w:rsid w:val="00052812"/>
    <w:rsid w:val="00052DA3"/>
    <w:rsid w:val="0005640D"/>
    <w:rsid w:val="000570CA"/>
    <w:rsid w:val="000573B3"/>
    <w:rsid w:val="000602BC"/>
    <w:rsid w:val="00063177"/>
    <w:rsid w:val="000634DB"/>
    <w:rsid w:val="000659B6"/>
    <w:rsid w:val="000678F2"/>
    <w:rsid w:val="00067AB8"/>
    <w:rsid w:val="0007094F"/>
    <w:rsid w:val="00070ABE"/>
    <w:rsid w:val="00071942"/>
    <w:rsid w:val="00071B94"/>
    <w:rsid w:val="00072029"/>
    <w:rsid w:val="00072133"/>
    <w:rsid w:val="000722C7"/>
    <w:rsid w:val="0007353B"/>
    <w:rsid w:val="0007660D"/>
    <w:rsid w:val="00077289"/>
    <w:rsid w:val="00077416"/>
    <w:rsid w:val="00080636"/>
    <w:rsid w:val="00081980"/>
    <w:rsid w:val="00081A11"/>
    <w:rsid w:val="00082149"/>
    <w:rsid w:val="00083D28"/>
    <w:rsid w:val="000855D8"/>
    <w:rsid w:val="0009032B"/>
    <w:rsid w:val="00092249"/>
    <w:rsid w:val="0009379D"/>
    <w:rsid w:val="00093A4A"/>
    <w:rsid w:val="000943E6"/>
    <w:rsid w:val="00096323"/>
    <w:rsid w:val="000969BC"/>
    <w:rsid w:val="000A05D0"/>
    <w:rsid w:val="000A11E9"/>
    <w:rsid w:val="000A16E8"/>
    <w:rsid w:val="000A1B9E"/>
    <w:rsid w:val="000A5421"/>
    <w:rsid w:val="000A5E3C"/>
    <w:rsid w:val="000A674E"/>
    <w:rsid w:val="000A7146"/>
    <w:rsid w:val="000A79E0"/>
    <w:rsid w:val="000A7F21"/>
    <w:rsid w:val="000B00E8"/>
    <w:rsid w:val="000B2974"/>
    <w:rsid w:val="000B4922"/>
    <w:rsid w:val="000B4EB4"/>
    <w:rsid w:val="000B64A1"/>
    <w:rsid w:val="000B70E7"/>
    <w:rsid w:val="000B735E"/>
    <w:rsid w:val="000C1C8D"/>
    <w:rsid w:val="000C321F"/>
    <w:rsid w:val="000C5B4A"/>
    <w:rsid w:val="000C61C2"/>
    <w:rsid w:val="000C665F"/>
    <w:rsid w:val="000C6A33"/>
    <w:rsid w:val="000D25D5"/>
    <w:rsid w:val="000D2F8C"/>
    <w:rsid w:val="000D5EAB"/>
    <w:rsid w:val="000D667E"/>
    <w:rsid w:val="000D71D9"/>
    <w:rsid w:val="000D7463"/>
    <w:rsid w:val="000D7D84"/>
    <w:rsid w:val="000E0BCE"/>
    <w:rsid w:val="000E1E6C"/>
    <w:rsid w:val="000E41C8"/>
    <w:rsid w:val="000E51EB"/>
    <w:rsid w:val="000E6C07"/>
    <w:rsid w:val="000E791F"/>
    <w:rsid w:val="000F0CA5"/>
    <w:rsid w:val="000F291A"/>
    <w:rsid w:val="000F3DD7"/>
    <w:rsid w:val="000F54F6"/>
    <w:rsid w:val="000F5E8E"/>
    <w:rsid w:val="000F67F4"/>
    <w:rsid w:val="000F7653"/>
    <w:rsid w:val="000F7AB4"/>
    <w:rsid w:val="000F7E4E"/>
    <w:rsid w:val="00100D22"/>
    <w:rsid w:val="001019D6"/>
    <w:rsid w:val="00101DC8"/>
    <w:rsid w:val="00102286"/>
    <w:rsid w:val="0010472D"/>
    <w:rsid w:val="00104FB2"/>
    <w:rsid w:val="0010536B"/>
    <w:rsid w:val="00106302"/>
    <w:rsid w:val="001066B0"/>
    <w:rsid w:val="0010692D"/>
    <w:rsid w:val="001118CE"/>
    <w:rsid w:val="00111A99"/>
    <w:rsid w:val="00112E1B"/>
    <w:rsid w:val="001138CF"/>
    <w:rsid w:val="0011447E"/>
    <w:rsid w:val="001169AA"/>
    <w:rsid w:val="001212D9"/>
    <w:rsid w:val="00121956"/>
    <w:rsid w:val="00121D9E"/>
    <w:rsid w:val="00124C22"/>
    <w:rsid w:val="00126B9E"/>
    <w:rsid w:val="001277BB"/>
    <w:rsid w:val="00127981"/>
    <w:rsid w:val="00127F69"/>
    <w:rsid w:val="001327F1"/>
    <w:rsid w:val="00133BE1"/>
    <w:rsid w:val="001358EA"/>
    <w:rsid w:val="0013787B"/>
    <w:rsid w:val="00140810"/>
    <w:rsid w:val="00140C73"/>
    <w:rsid w:val="00141688"/>
    <w:rsid w:val="001429C5"/>
    <w:rsid w:val="001434BA"/>
    <w:rsid w:val="00150CDC"/>
    <w:rsid w:val="0015205C"/>
    <w:rsid w:val="00152F7A"/>
    <w:rsid w:val="001542A2"/>
    <w:rsid w:val="00155CF2"/>
    <w:rsid w:val="00160258"/>
    <w:rsid w:val="00161EEF"/>
    <w:rsid w:val="001630BC"/>
    <w:rsid w:val="00164134"/>
    <w:rsid w:val="001651C5"/>
    <w:rsid w:val="001700ED"/>
    <w:rsid w:val="00170458"/>
    <w:rsid w:val="00172777"/>
    <w:rsid w:val="001734B8"/>
    <w:rsid w:val="0017523F"/>
    <w:rsid w:val="00177C05"/>
    <w:rsid w:val="00182F3A"/>
    <w:rsid w:val="00185BA2"/>
    <w:rsid w:val="00185F9F"/>
    <w:rsid w:val="00185FE1"/>
    <w:rsid w:val="001868F1"/>
    <w:rsid w:val="00192142"/>
    <w:rsid w:val="0019231F"/>
    <w:rsid w:val="0019483B"/>
    <w:rsid w:val="00195238"/>
    <w:rsid w:val="00195B6D"/>
    <w:rsid w:val="00196709"/>
    <w:rsid w:val="001971AC"/>
    <w:rsid w:val="00197D05"/>
    <w:rsid w:val="001A05FD"/>
    <w:rsid w:val="001A2A66"/>
    <w:rsid w:val="001A2ED8"/>
    <w:rsid w:val="001A5109"/>
    <w:rsid w:val="001A64E9"/>
    <w:rsid w:val="001A6BBC"/>
    <w:rsid w:val="001B0385"/>
    <w:rsid w:val="001B03F8"/>
    <w:rsid w:val="001B131F"/>
    <w:rsid w:val="001B165F"/>
    <w:rsid w:val="001B1699"/>
    <w:rsid w:val="001B408E"/>
    <w:rsid w:val="001B5DD5"/>
    <w:rsid w:val="001B7307"/>
    <w:rsid w:val="001B780C"/>
    <w:rsid w:val="001B7875"/>
    <w:rsid w:val="001B7CAD"/>
    <w:rsid w:val="001C2573"/>
    <w:rsid w:val="001C404C"/>
    <w:rsid w:val="001C4EE2"/>
    <w:rsid w:val="001D0415"/>
    <w:rsid w:val="001D0EBD"/>
    <w:rsid w:val="001D152F"/>
    <w:rsid w:val="001D2857"/>
    <w:rsid w:val="001D2C3B"/>
    <w:rsid w:val="001D5BC4"/>
    <w:rsid w:val="001D72F6"/>
    <w:rsid w:val="001E1C67"/>
    <w:rsid w:val="001E3AF9"/>
    <w:rsid w:val="001E48BB"/>
    <w:rsid w:val="001E4DFE"/>
    <w:rsid w:val="001E5BF4"/>
    <w:rsid w:val="001F0781"/>
    <w:rsid w:val="001F1102"/>
    <w:rsid w:val="001F1F67"/>
    <w:rsid w:val="001F213E"/>
    <w:rsid w:val="001F502F"/>
    <w:rsid w:val="001F5C94"/>
    <w:rsid w:val="001F6043"/>
    <w:rsid w:val="001F75F6"/>
    <w:rsid w:val="002035F0"/>
    <w:rsid w:val="00203E5E"/>
    <w:rsid w:val="00205503"/>
    <w:rsid w:val="00207E12"/>
    <w:rsid w:val="002109CE"/>
    <w:rsid w:val="00212580"/>
    <w:rsid w:val="0021324C"/>
    <w:rsid w:val="002164E8"/>
    <w:rsid w:val="00216C94"/>
    <w:rsid w:val="002176CE"/>
    <w:rsid w:val="00217B17"/>
    <w:rsid w:val="00217B2D"/>
    <w:rsid w:val="00220136"/>
    <w:rsid w:val="002206DE"/>
    <w:rsid w:val="00223058"/>
    <w:rsid w:val="002234E9"/>
    <w:rsid w:val="002244D1"/>
    <w:rsid w:val="00224CFC"/>
    <w:rsid w:val="002308CE"/>
    <w:rsid w:val="002309B6"/>
    <w:rsid w:val="0023459F"/>
    <w:rsid w:val="00234A93"/>
    <w:rsid w:val="00236EFF"/>
    <w:rsid w:val="00237601"/>
    <w:rsid w:val="002408EF"/>
    <w:rsid w:val="002408F7"/>
    <w:rsid w:val="0024175A"/>
    <w:rsid w:val="002422C7"/>
    <w:rsid w:val="002424E1"/>
    <w:rsid w:val="002427B1"/>
    <w:rsid w:val="00242D72"/>
    <w:rsid w:val="00242E1B"/>
    <w:rsid w:val="0024344C"/>
    <w:rsid w:val="00247860"/>
    <w:rsid w:val="00251024"/>
    <w:rsid w:val="002518DC"/>
    <w:rsid w:val="002524CB"/>
    <w:rsid w:val="00252910"/>
    <w:rsid w:val="00252E98"/>
    <w:rsid w:val="00253976"/>
    <w:rsid w:val="00253A04"/>
    <w:rsid w:val="00254493"/>
    <w:rsid w:val="0025466E"/>
    <w:rsid w:val="00254F78"/>
    <w:rsid w:val="0025527A"/>
    <w:rsid w:val="00260041"/>
    <w:rsid w:val="002613F9"/>
    <w:rsid w:val="00262AC7"/>
    <w:rsid w:val="00263E79"/>
    <w:rsid w:val="00264355"/>
    <w:rsid w:val="00265F12"/>
    <w:rsid w:val="00266444"/>
    <w:rsid w:val="002671DC"/>
    <w:rsid w:val="00267E07"/>
    <w:rsid w:val="00270D1D"/>
    <w:rsid w:val="002725B6"/>
    <w:rsid w:val="002752E5"/>
    <w:rsid w:val="0027545D"/>
    <w:rsid w:val="00277CE9"/>
    <w:rsid w:val="002822CF"/>
    <w:rsid w:val="00287366"/>
    <w:rsid w:val="00287EA0"/>
    <w:rsid w:val="00291CB5"/>
    <w:rsid w:val="002929C9"/>
    <w:rsid w:val="002939C2"/>
    <w:rsid w:val="00295390"/>
    <w:rsid w:val="002967DF"/>
    <w:rsid w:val="00296E97"/>
    <w:rsid w:val="002A0A03"/>
    <w:rsid w:val="002A2287"/>
    <w:rsid w:val="002A2E5B"/>
    <w:rsid w:val="002B30D5"/>
    <w:rsid w:val="002B374E"/>
    <w:rsid w:val="002B5064"/>
    <w:rsid w:val="002B5253"/>
    <w:rsid w:val="002B76BB"/>
    <w:rsid w:val="002B7933"/>
    <w:rsid w:val="002C1880"/>
    <w:rsid w:val="002C225A"/>
    <w:rsid w:val="002C22CD"/>
    <w:rsid w:val="002C3BC4"/>
    <w:rsid w:val="002C47DD"/>
    <w:rsid w:val="002C4C6E"/>
    <w:rsid w:val="002C4CE9"/>
    <w:rsid w:val="002C4FC6"/>
    <w:rsid w:val="002C5286"/>
    <w:rsid w:val="002C55B4"/>
    <w:rsid w:val="002C64E3"/>
    <w:rsid w:val="002C6A78"/>
    <w:rsid w:val="002D038A"/>
    <w:rsid w:val="002D1506"/>
    <w:rsid w:val="002D2313"/>
    <w:rsid w:val="002D2CB7"/>
    <w:rsid w:val="002D34E6"/>
    <w:rsid w:val="002D3AA6"/>
    <w:rsid w:val="002D48D2"/>
    <w:rsid w:val="002D4B05"/>
    <w:rsid w:val="002D6F79"/>
    <w:rsid w:val="002D7734"/>
    <w:rsid w:val="002E1334"/>
    <w:rsid w:val="002E2499"/>
    <w:rsid w:val="002E2BF4"/>
    <w:rsid w:val="002E380D"/>
    <w:rsid w:val="002E479A"/>
    <w:rsid w:val="002E4AC7"/>
    <w:rsid w:val="002E4AED"/>
    <w:rsid w:val="002E59F7"/>
    <w:rsid w:val="002E6817"/>
    <w:rsid w:val="002E7341"/>
    <w:rsid w:val="002F2173"/>
    <w:rsid w:val="002F483D"/>
    <w:rsid w:val="002F7CA1"/>
    <w:rsid w:val="00300A91"/>
    <w:rsid w:val="00301812"/>
    <w:rsid w:val="00301DE7"/>
    <w:rsid w:val="00304101"/>
    <w:rsid w:val="00305F69"/>
    <w:rsid w:val="003070FE"/>
    <w:rsid w:val="00310A6E"/>
    <w:rsid w:val="003110F3"/>
    <w:rsid w:val="0031259E"/>
    <w:rsid w:val="00313A3B"/>
    <w:rsid w:val="00313CAD"/>
    <w:rsid w:val="003140C3"/>
    <w:rsid w:val="00314290"/>
    <w:rsid w:val="00315262"/>
    <w:rsid w:val="00315A6B"/>
    <w:rsid w:val="00316251"/>
    <w:rsid w:val="003163EC"/>
    <w:rsid w:val="003169A6"/>
    <w:rsid w:val="00317565"/>
    <w:rsid w:val="00317E61"/>
    <w:rsid w:val="00320D30"/>
    <w:rsid w:val="00320F65"/>
    <w:rsid w:val="00322508"/>
    <w:rsid w:val="00323FAB"/>
    <w:rsid w:val="00325ABC"/>
    <w:rsid w:val="00326127"/>
    <w:rsid w:val="0032694C"/>
    <w:rsid w:val="00326BC3"/>
    <w:rsid w:val="00331149"/>
    <w:rsid w:val="003319C2"/>
    <w:rsid w:val="00331A14"/>
    <w:rsid w:val="00333DEC"/>
    <w:rsid w:val="00334135"/>
    <w:rsid w:val="003348CB"/>
    <w:rsid w:val="003364B6"/>
    <w:rsid w:val="00336F92"/>
    <w:rsid w:val="0033753E"/>
    <w:rsid w:val="00344CF3"/>
    <w:rsid w:val="00345064"/>
    <w:rsid w:val="00345992"/>
    <w:rsid w:val="00346391"/>
    <w:rsid w:val="003504E2"/>
    <w:rsid w:val="00350771"/>
    <w:rsid w:val="00350790"/>
    <w:rsid w:val="00351419"/>
    <w:rsid w:val="0035213D"/>
    <w:rsid w:val="00353317"/>
    <w:rsid w:val="003542E6"/>
    <w:rsid w:val="00356174"/>
    <w:rsid w:val="00356777"/>
    <w:rsid w:val="00361A3E"/>
    <w:rsid w:val="00363263"/>
    <w:rsid w:val="0036370E"/>
    <w:rsid w:val="00364C1F"/>
    <w:rsid w:val="003678B2"/>
    <w:rsid w:val="00367F1F"/>
    <w:rsid w:val="00371C47"/>
    <w:rsid w:val="00373D37"/>
    <w:rsid w:val="00377497"/>
    <w:rsid w:val="00380B3E"/>
    <w:rsid w:val="0038250A"/>
    <w:rsid w:val="00382909"/>
    <w:rsid w:val="0038522E"/>
    <w:rsid w:val="00385A5E"/>
    <w:rsid w:val="003867D9"/>
    <w:rsid w:val="0038716A"/>
    <w:rsid w:val="00387331"/>
    <w:rsid w:val="00390735"/>
    <w:rsid w:val="00392279"/>
    <w:rsid w:val="00392C92"/>
    <w:rsid w:val="003932DE"/>
    <w:rsid w:val="00397F6B"/>
    <w:rsid w:val="003A0CA9"/>
    <w:rsid w:val="003A12B9"/>
    <w:rsid w:val="003A1C09"/>
    <w:rsid w:val="003A2B31"/>
    <w:rsid w:val="003A2E12"/>
    <w:rsid w:val="003A61EB"/>
    <w:rsid w:val="003A6C86"/>
    <w:rsid w:val="003B08F0"/>
    <w:rsid w:val="003B1A8C"/>
    <w:rsid w:val="003B1F01"/>
    <w:rsid w:val="003B4549"/>
    <w:rsid w:val="003C0782"/>
    <w:rsid w:val="003C0A9F"/>
    <w:rsid w:val="003C1814"/>
    <w:rsid w:val="003C1F14"/>
    <w:rsid w:val="003C2BC9"/>
    <w:rsid w:val="003C48D3"/>
    <w:rsid w:val="003C59A0"/>
    <w:rsid w:val="003C59E2"/>
    <w:rsid w:val="003C635A"/>
    <w:rsid w:val="003D24B4"/>
    <w:rsid w:val="003D33F4"/>
    <w:rsid w:val="003D4D46"/>
    <w:rsid w:val="003D52AB"/>
    <w:rsid w:val="003D682D"/>
    <w:rsid w:val="003D6860"/>
    <w:rsid w:val="003D734E"/>
    <w:rsid w:val="003E2ADD"/>
    <w:rsid w:val="003E3FB6"/>
    <w:rsid w:val="003F26EC"/>
    <w:rsid w:val="003F29E8"/>
    <w:rsid w:val="003F2F57"/>
    <w:rsid w:val="003F61C5"/>
    <w:rsid w:val="004001D7"/>
    <w:rsid w:val="00400408"/>
    <w:rsid w:val="00401FFF"/>
    <w:rsid w:val="00405D45"/>
    <w:rsid w:val="004067AD"/>
    <w:rsid w:val="00410737"/>
    <w:rsid w:val="0041230A"/>
    <w:rsid w:val="00412916"/>
    <w:rsid w:val="00415362"/>
    <w:rsid w:val="00415A70"/>
    <w:rsid w:val="0041662A"/>
    <w:rsid w:val="00421414"/>
    <w:rsid w:val="00422D4E"/>
    <w:rsid w:val="00424157"/>
    <w:rsid w:val="0042501F"/>
    <w:rsid w:val="0042558F"/>
    <w:rsid w:val="00425A16"/>
    <w:rsid w:val="00426FF4"/>
    <w:rsid w:val="004306BB"/>
    <w:rsid w:val="00432164"/>
    <w:rsid w:val="00433351"/>
    <w:rsid w:val="00434ED9"/>
    <w:rsid w:val="004354C9"/>
    <w:rsid w:val="00435598"/>
    <w:rsid w:val="00436A00"/>
    <w:rsid w:val="00436B56"/>
    <w:rsid w:val="00436C9E"/>
    <w:rsid w:val="00437325"/>
    <w:rsid w:val="00437EE2"/>
    <w:rsid w:val="0044036D"/>
    <w:rsid w:val="00441109"/>
    <w:rsid w:val="00441EA2"/>
    <w:rsid w:val="0044256F"/>
    <w:rsid w:val="00444248"/>
    <w:rsid w:val="00451464"/>
    <w:rsid w:val="00453A40"/>
    <w:rsid w:val="00453D72"/>
    <w:rsid w:val="00456D83"/>
    <w:rsid w:val="004577E9"/>
    <w:rsid w:val="00457871"/>
    <w:rsid w:val="0046224A"/>
    <w:rsid w:val="00462C5C"/>
    <w:rsid w:val="004637C2"/>
    <w:rsid w:val="0046386B"/>
    <w:rsid w:val="00464DA8"/>
    <w:rsid w:val="00465D29"/>
    <w:rsid w:val="00465D8A"/>
    <w:rsid w:val="004724C6"/>
    <w:rsid w:val="00473AF4"/>
    <w:rsid w:val="00474BA3"/>
    <w:rsid w:val="00474F21"/>
    <w:rsid w:val="00475BBF"/>
    <w:rsid w:val="00477161"/>
    <w:rsid w:val="00477A2C"/>
    <w:rsid w:val="00477E20"/>
    <w:rsid w:val="00481039"/>
    <w:rsid w:val="00482247"/>
    <w:rsid w:val="00484764"/>
    <w:rsid w:val="004848DA"/>
    <w:rsid w:val="00484A00"/>
    <w:rsid w:val="0048581A"/>
    <w:rsid w:val="00485A03"/>
    <w:rsid w:val="00485A23"/>
    <w:rsid w:val="00485CF9"/>
    <w:rsid w:val="00486B14"/>
    <w:rsid w:val="00486F39"/>
    <w:rsid w:val="00492B9A"/>
    <w:rsid w:val="00495525"/>
    <w:rsid w:val="004A0B31"/>
    <w:rsid w:val="004A56BA"/>
    <w:rsid w:val="004A6FFB"/>
    <w:rsid w:val="004A76FA"/>
    <w:rsid w:val="004A79B7"/>
    <w:rsid w:val="004B1F38"/>
    <w:rsid w:val="004B2D00"/>
    <w:rsid w:val="004B3451"/>
    <w:rsid w:val="004B4109"/>
    <w:rsid w:val="004B56E0"/>
    <w:rsid w:val="004B59BB"/>
    <w:rsid w:val="004B5AB9"/>
    <w:rsid w:val="004B5C85"/>
    <w:rsid w:val="004B7CC6"/>
    <w:rsid w:val="004B7D4D"/>
    <w:rsid w:val="004B7E3B"/>
    <w:rsid w:val="004C2935"/>
    <w:rsid w:val="004C399A"/>
    <w:rsid w:val="004C4E0A"/>
    <w:rsid w:val="004C6876"/>
    <w:rsid w:val="004D01F9"/>
    <w:rsid w:val="004D38F2"/>
    <w:rsid w:val="004D3EA5"/>
    <w:rsid w:val="004D460A"/>
    <w:rsid w:val="004D51E6"/>
    <w:rsid w:val="004D6C58"/>
    <w:rsid w:val="004E018D"/>
    <w:rsid w:val="004E0292"/>
    <w:rsid w:val="004E1783"/>
    <w:rsid w:val="004E2E03"/>
    <w:rsid w:val="004E64BB"/>
    <w:rsid w:val="004E6B93"/>
    <w:rsid w:val="004E7642"/>
    <w:rsid w:val="004F20F6"/>
    <w:rsid w:val="004F233E"/>
    <w:rsid w:val="004F3010"/>
    <w:rsid w:val="004F3E8A"/>
    <w:rsid w:val="004F4BC1"/>
    <w:rsid w:val="004F5024"/>
    <w:rsid w:val="004F6612"/>
    <w:rsid w:val="004F6A11"/>
    <w:rsid w:val="004F736C"/>
    <w:rsid w:val="004F7819"/>
    <w:rsid w:val="00500852"/>
    <w:rsid w:val="00502589"/>
    <w:rsid w:val="005053BA"/>
    <w:rsid w:val="00506A0D"/>
    <w:rsid w:val="005070CF"/>
    <w:rsid w:val="0050726A"/>
    <w:rsid w:val="00510D18"/>
    <w:rsid w:val="00511B24"/>
    <w:rsid w:val="00513E83"/>
    <w:rsid w:val="005141E1"/>
    <w:rsid w:val="00515DC6"/>
    <w:rsid w:val="00516254"/>
    <w:rsid w:val="0052086E"/>
    <w:rsid w:val="00520E8B"/>
    <w:rsid w:val="00521C27"/>
    <w:rsid w:val="00522247"/>
    <w:rsid w:val="00526666"/>
    <w:rsid w:val="00526A6A"/>
    <w:rsid w:val="005275B1"/>
    <w:rsid w:val="005276EF"/>
    <w:rsid w:val="0053010D"/>
    <w:rsid w:val="00533305"/>
    <w:rsid w:val="005376A9"/>
    <w:rsid w:val="005416E8"/>
    <w:rsid w:val="0054236A"/>
    <w:rsid w:val="005455A2"/>
    <w:rsid w:val="00545D07"/>
    <w:rsid w:val="00547F71"/>
    <w:rsid w:val="00550209"/>
    <w:rsid w:val="00551DD7"/>
    <w:rsid w:val="005520CD"/>
    <w:rsid w:val="00552C10"/>
    <w:rsid w:val="00553632"/>
    <w:rsid w:val="005537FA"/>
    <w:rsid w:val="00553E1F"/>
    <w:rsid w:val="00555D50"/>
    <w:rsid w:val="0055667F"/>
    <w:rsid w:val="00556CD0"/>
    <w:rsid w:val="00557B5B"/>
    <w:rsid w:val="00561EAE"/>
    <w:rsid w:val="00562794"/>
    <w:rsid w:val="00562AE8"/>
    <w:rsid w:val="00563685"/>
    <w:rsid w:val="00564394"/>
    <w:rsid w:val="00565E67"/>
    <w:rsid w:val="00566239"/>
    <w:rsid w:val="005668E4"/>
    <w:rsid w:val="00566AEE"/>
    <w:rsid w:val="0056750D"/>
    <w:rsid w:val="00570EB3"/>
    <w:rsid w:val="00575328"/>
    <w:rsid w:val="00577E82"/>
    <w:rsid w:val="005801C9"/>
    <w:rsid w:val="00580AA8"/>
    <w:rsid w:val="00580BA9"/>
    <w:rsid w:val="00582898"/>
    <w:rsid w:val="0058300F"/>
    <w:rsid w:val="00583CB0"/>
    <w:rsid w:val="005842C9"/>
    <w:rsid w:val="00584C66"/>
    <w:rsid w:val="00585085"/>
    <w:rsid w:val="00585785"/>
    <w:rsid w:val="00585BCD"/>
    <w:rsid w:val="005906C0"/>
    <w:rsid w:val="005906EB"/>
    <w:rsid w:val="0059284A"/>
    <w:rsid w:val="00592BDC"/>
    <w:rsid w:val="005937FC"/>
    <w:rsid w:val="00593AA5"/>
    <w:rsid w:val="00593CC4"/>
    <w:rsid w:val="00595E8A"/>
    <w:rsid w:val="0059609A"/>
    <w:rsid w:val="00597680"/>
    <w:rsid w:val="005A196A"/>
    <w:rsid w:val="005A68E4"/>
    <w:rsid w:val="005A7230"/>
    <w:rsid w:val="005A75E3"/>
    <w:rsid w:val="005B1F72"/>
    <w:rsid w:val="005B2633"/>
    <w:rsid w:val="005B3810"/>
    <w:rsid w:val="005B46C7"/>
    <w:rsid w:val="005B53CB"/>
    <w:rsid w:val="005B763F"/>
    <w:rsid w:val="005C073F"/>
    <w:rsid w:val="005C2B16"/>
    <w:rsid w:val="005C2EA4"/>
    <w:rsid w:val="005C3B9E"/>
    <w:rsid w:val="005C4413"/>
    <w:rsid w:val="005C59FA"/>
    <w:rsid w:val="005C6937"/>
    <w:rsid w:val="005D0CE7"/>
    <w:rsid w:val="005D14D3"/>
    <w:rsid w:val="005D43AE"/>
    <w:rsid w:val="005D77C4"/>
    <w:rsid w:val="005D7B03"/>
    <w:rsid w:val="005E01C9"/>
    <w:rsid w:val="005E148B"/>
    <w:rsid w:val="005E1D7B"/>
    <w:rsid w:val="005E34B2"/>
    <w:rsid w:val="005E3979"/>
    <w:rsid w:val="005E48A6"/>
    <w:rsid w:val="005E5E1D"/>
    <w:rsid w:val="005E61D8"/>
    <w:rsid w:val="005E62D4"/>
    <w:rsid w:val="005F2CC8"/>
    <w:rsid w:val="005F3A85"/>
    <w:rsid w:val="005F55A7"/>
    <w:rsid w:val="005F5D67"/>
    <w:rsid w:val="005F64CE"/>
    <w:rsid w:val="005F6994"/>
    <w:rsid w:val="00601983"/>
    <w:rsid w:val="0060203D"/>
    <w:rsid w:val="0060217B"/>
    <w:rsid w:val="00603AE8"/>
    <w:rsid w:val="00611C2F"/>
    <w:rsid w:val="00613516"/>
    <w:rsid w:val="00613DFB"/>
    <w:rsid w:val="00614C71"/>
    <w:rsid w:val="006158BF"/>
    <w:rsid w:val="00617E25"/>
    <w:rsid w:val="00620263"/>
    <w:rsid w:val="0062099C"/>
    <w:rsid w:val="0062151F"/>
    <w:rsid w:val="00624174"/>
    <w:rsid w:val="00636194"/>
    <w:rsid w:val="006365FC"/>
    <w:rsid w:val="0063698C"/>
    <w:rsid w:val="00636E45"/>
    <w:rsid w:val="00637780"/>
    <w:rsid w:val="00640547"/>
    <w:rsid w:val="00640829"/>
    <w:rsid w:val="00642872"/>
    <w:rsid w:val="00644AEF"/>
    <w:rsid w:val="006466CB"/>
    <w:rsid w:val="00646DF0"/>
    <w:rsid w:val="00651A2D"/>
    <w:rsid w:val="006541DF"/>
    <w:rsid w:val="00660361"/>
    <w:rsid w:val="00661E1E"/>
    <w:rsid w:val="00666479"/>
    <w:rsid w:val="00671452"/>
    <w:rsid w:val="0067249C"/>
    <w:rsid w:val="00673764"/>
    <w:rsid w:val="0067613F"/>
    <w:rsid w:val="00677498"/>
    <w:rsid w:val="00677512"/>
    <w:rsid w:val="00680B2D"/>
    <w:rsid w:val="006832FB"/>
    <w:rsid w:val="00690DFE"/>
    <w:rsid w:val="00692A91"/>
    <w:rsid w:val="00694F3B"/>
    <w:rsid w:val="00695D3F"/>
    <w:rsid w:val="00696D22"/>
    <w:rsid w:val="006976B9"/>
    <w:rsid w:val="00697AB0"/>
    <w:rsid w:val="006A18A3"/>
    <w:rsid w:val="006A18B2"/>
    <w:rsid w:val="006A2F12"/>
    <w:rsid w:val="006A5C3F"/>
    <w:rsid w:val="006B0010"/>
    <w:rsid w:val="006B040D"/>
    <w:rsid w:val="006B1357"/>
    <w:rsid w:val="006B1AAA"/>
    <w:rsid w:val="006B1DC8"/>
    <w:rsid w:val="006B1E70"/>
    <w:rsid w:val="006B220C"/>
    <w:rsid w:val="006B35CE"/>
    <w:rsid w:val="006B4957"/>
    <w:rsid w:val="006B4B95"/>
    <w:rsid w:val="006B4C7A"/>
    <w:rsid w:val="006B5351"/>
    <w:rsid w:val="006B63A1"/>
    <w:rsid w:val="006B6F09"/>
    <w:rsid w:val="006C0EF2"/>
    <w:rsid w:val="006C3A63"/>
    <w:rsid w:val="006C7D9B"/>
    <w:rsid w:val="006C7F44"/>
    <w:rsid w:val="006D3483"/>
    <w:rsid w:val="006D585A"/>
    <w:rsid w:val="006D5C0D"/>
    <w:rsid w:val="006D644D"/>
    <w:rsid w:val="006E1C26"/>
    <w:rsid w:val="006E23D2"/>
    <w:rsid w:val="006E2552"/>
    <w:rsid w:val="006E3511"/>
    <w:rsid w:val="006E43D5"/>
    <w:rsid w:val="006F0138"/>
    <w:rsid w:val="006F0CDD"/>
    <w:rsid w:val="006F27EB"/>
    <w:rsid w:val="006F294C"/>
    <w:rsid w:val="006F3368"/>
    <w:rsid w:val="006F3C01"/>
    <w:rsid w:val="006F4F22"/>
    <w:rsid w:val="006F4FD3"/>
    <w:rsid w:val="006F5F96"/>
    <w:rsid w:val="00703435"/>
    <w:rsid w:val="007034AC"/>
    <w:rsid w:val="00704A90"/>
    <w:rsid w:val="00707460"/>
    <w:rsid w:val="00707FD2"/>
    <w:rsid w:val="007130D5"/>
    <w:rsid w:val="00715EED"/>
    <w:rsid w:val="007160D7"/>
    <w:rsid w:val="0071716D"/>
    <w:rsid w:val="00717591"/>
    <w:rsid w:val="00717963"/>
    <w:rsid w:val="00722F01"/>
    <w:rsid w:val="00722FB6"/>
    <w:rsid w:val="0072308E"/>
    <w:rsid w:val="00723242"/>
    <w:rsid w:val="007232FD"/>
    <w:rsid w:val="00725075"/>
    <w:rsid w:val="00726D8B"/>
    <w:rsid w:val="00727675"/>
    <w:rsid w:val="007300A2"/>
    <w:rsid w:val="00731932"/>
    <w:rsid w:val="0073352B"/>
    <w:rsid w:val="00734104"/>
    <w:rsid w:val="007343C0"/>
    <w:rsid w:val="007353D3"/>
    <w:rsid w:val="00737973"/>
    <w:rsid w:val="0074058B"/>
    <w:rsid w:val="00742622"/>
    <w:rsid w:val="00742A73"/>
    <w:rsid w:val="007441D6"/>
    <w:rsid w:val="0074445F"/>
    <w:rsid w:val="00744A34"/>
    <w:rsid w:val="00745502"/>
    <w:rsid w:val="007470D5"/>
    <w:rsid w:val="007473BD"/>
    <w:rsid w:val="00747C08"/>
    <w:rsid w:val="00753334"/>
    <w:rsid w:val="00753907"/>
    <w:rsid w:val="00754239"/>
    <w:rsid w:val="007543EB"/>
    <w:rsid w:val="00754A21"/>
    <w:rsid w:val="00756C93"/>
    <w:rsid w:val="0076164A"/>
    <w:rsid w:val="00762783"/>
    <w:rsid w:val="007627B9"/>
    <w:rsid w:val="007628C3"/>
    <w:rsid w:val="00762B9B"/>
    <w:rsid w:val="00762C2A"/>
    <w:rsid w:val="0076321A"/>
    <w:rsid w:val="00763563"/>
    <w:rsid w:val="007643E9"/>
    <w:rsid w:val="00764C9E"/>
    <w:rsid w:val="00764F28"/>
    <w:rsid w:val="00766234"/>
    <w:rsid w:val="00766606"/>
    <w:rsid w:val="00767EA3"/>
    <w:rsid w:val="007700A5"/>
    <w:rsid w:val="00770530"/>
    <w:rsid w:val="007738A2"/>
    <w:rsid w:val="00774070"/>
    <w:rsid w:val="00782B11"/>
    <w:rsid w:val="00785411"/>
    <w:rsid w:val="00786341"/>
    <w:rsid w:val="0079037D"/>
    <w:rsid w:val="00790D37"/>
    <w:rsid w:val="00791BA0"/>
    <w:rsid w:val="00791D3D"/>
    <w:rsid w:val="007966F2"/>
    <w:rsid w:val="00797B14"/>
    <w:rsid w:val="007A0AC4"/>
    <w:rsid w:val="007A1A7C"/>
    <w:rsid w:val="007A2BBF"/>
    <w:rsid w:val="007A2F83"/>
    <w:rsid w:val="007A42CA"/>
    <w:rsid w:val="007A4818"/>
    <w:rsid w:val="007A555E"/>
    <w:rsid w:val="007A6D05"/>
    <w:rsid w:val="007B10A4"/>
    <w:rsid w:val="007B12B4"/>
    <w:rsid w:val="007B4907"/>
    <w:rsid w:val="007B491A"/>
    <w:rsid w:val="007B4E88"/>
    <w:rsid w:val="007B60FE"/>
    <w:rsid w:val="007B7BF2"/>
    <w:rsid w:val="007C1923"/>
    <w:rsid w:val="007C2A7C"/>
    <w:rsid w:val="007C2C10"/>
    <w:rsid w:val="007C2DB7"/>
    <w:rsid w:val="007C33F2"/>
    <w:rsid w:val="007C4349"/>
    <w:rsid w:val="007C7A67"/>
    <w:rsid w:val="007D0F2F"/>
    <w:rsid w:val="007D135F"/>
    <w:rsid w:val="007D1E0E"/>
    <w:rsid w:val="007D2341"/>
    <w:rsid w:val="007D3BE2"/>
    <w:rsid w:val="007D59E6"/>
    <w:rsid w:val="007E0F85"/>
    <w:rsid w:val="007E1C9B"/>
    <w:rsid w:val="007E1EED"/>
    <w:rsid w:val="007E2ED7"/>
    <w:rsid w:val="007E5D3C"/>
    <w:rsid w:val="007E645C"/>
    <w:rsid w:val="007E6A2D"/>
    <w:rsid w:val="007E7271"/>
    <w:rsid w:val="007E76BB"/>
    <w:rsid w:val="007F2E8D"/>
    <w:rsid w:val="007F6213"/>
    <w:rsid w:val="007F6A6F"/>
    <w:rsid w:val="007F6D2F"/>
    <w:rsid w:val="007F7BE4"/>
    <w:rsid w:val="008002E9"/>
    <w:rsid w:val="00800BA2"/>
    <w:rsid w:val="00801231"/>
    <w:rsid w:val="0080291B"/>
    <w:rsid w:val="00802B6A"/>
    <w:rsid w:val="00802BC3"/>
    <w:rsid w:val="008031B4"/>
    <w:rsid w:val="008032A1"/>
    <w:rsid w:val="008038B1"/>
    <w:rsid w:val="008040F3"/>
    <w:rsid w:val="008041DF"/>
    <w:rsid w:val="00804F1B"/>
    <w:rsid w:val="00805454"/>
    <w:rsid w:val="0080665F"/>
    <w:rsid w:val="008074E0"/>
    <w:rsid w:val="00812801"/>
    <w:rsid w:val="0081677B"/>
    <w:rsid w:val="00816D0D"/>
    <w:rsid w:val="00817198"/>
    <w:rsid w:val="00817A16"/>
    <w:rsid w:val="0082331B"/>
    <w:rsid w:val="00825BC3"/>
    <w:rsid w:val="00826808"/>
    <w:rsid w:val="00827B19"/>
    <w:rsid w:val="00831E44"/>
    <w:rsid w:val="008328ED"/>
    <w:rsid w:val="00833284"/>
    <w:rsid w:val="00833B9C"/>
    <w:rsid w:val="00833DE3"/>
    <w:rsid w:val="0083440D"/>
    <w:rsid w:val="008346C9"/>
    <w:rsid w:val="00836281"/>
    <w:rsid w:val="008377C0"/>
    <w:rsid w:val="008406B9"/>
    <w:rsid w:val="008412B1"/>
    <w:rsid w:val="00841365"/>
    <w:rsid w:val="00841E48"/>
    <w:rsid w:val="0084283A"/>
    <w:rsid w:val="00843DFD"/>
    <w:rsid w:val="00844D60"/>
    <w:rsid w:val="00844F98"/>
    <w:rsid w:val="00845787"/>
    <w:rsid w:val="00845CAE"/>
    <w:rsid w:val="00846EB4"/>
    <w:rsid w:val="00847901"/>
    <w:rsid w:val="00852C46"/>
    <w:rsid w:val="00853F46"/>
    <w:rsid w:val="00856356"/>
    <w:rsid w:val="008573AD"/>
    <w:rsid w:val="00857BD9"/>
    <w:rsid w:val="008605EF"/>
    <w:rsid w:val="0086357E"/>
    <w:rsid w:val="008649CF"/>
    <w:rsid w:val="00865E80"/>
    <w:rsid w:val="00866F38"/>
    <w:rsid w:val="0087191E"/>
    <w:rsid w:val="00872BDA"/>
    <w:rsid w:val="008748AB"/>
    <w:rsid w:val="00875296"/>
    <w:rsid w:val="00875707"/>
    <w:rsid w:val="008803B8"/>
    <w:rsid w:val="008815C7"/>
    <w:rsid w:val="00883502"/>
    <w:rsid w:val="00883C8D"/>
    <w:rsid w:val="008863F3"/>
    <w:rsid w:val="00886678"/>
    <w:rsid w:val="00887E90"/>
    <w:rsid w:val="00892208"/>
    <w:rsid w:val="00894EAB"/>
    <w:rsid w:val="0089736C"/>
    <w:rsid w:val="008A02AC"/>
    <w:rsid w:val="008A09E3"/>
    <w:rsid w:val="008A0F9E"/>
    <w:rsid w:val="008A16BF"/>
    <w:rsid w:val="008A2686"/>
    <w:rsid w:val="008A4274"/>
    <w:rsid w:val="008A5587"/>
    <w:rsid w:val="008A62A8"/>
    <w:rsid w:val="008B02CC"/>
    <w:rsid w:val="008B0F4C"/>
    <w:rsid w:val="008B101E"/>
    <w:rsid w:val="008B110B"/>
    <w:rsid w:val="008B1E10"/>
    <w:rsid w:val="008B276C"/>
    <w:rsid w:val="008B4C01"/>
    <w:rsid w:val="008B5256"/>
    <w:rsid w:val="008B5D80"/>
    <w:rsid w:val="008B70FF"/>
    <w:rsid w:val="008B7354"/>
    <w:rsid w:val="008C1861"/>
    <w:rsid w:val="008C4295"/>
    <w:rsid w:val="008C4792"/>
    <w:rsid w:val="008D1461"/>
    <w:rsid w:val="008D341F"/>
    <w:rsid w:val="008D6258"/>
    <w:rsid w:val="008D6EE1"/>
    <w:rsid w:val="008E1CF7"/>
    <w:rsid w:val="008E5DF2"/>
    <w:rsid w:val="008F02CD"/>
    <w:rsid w:val="008F0844"/>
    <w:rsid w:val="008F1E7D"/>
    <w:rsid w:val="008F4271"/>
    <w:rsid w:val="008F48A3"/>
    <w:rsid w:val="008F5243"/>
    <w:rsid w:val="0090055D"/>
    <w:rsid w:val="00900768"/>
    <w:rsid w:val="009007F3"/>
    <w:rsid w:val="00901387"/>
    <w:rsid w:val="009024A3"/>
    <w:rsid w:val="00902A93"/>
    <w:rsid w:val="00903039"/>
    <w:rsid w:val="0090452A"/>
    <w:rsid w:val="0090494C"/>
    <w:rsid w:val="0090698F"/>
    <w:rsid w:val="0091069D"/>
    <w:rsid w:val="00910F1A"/>
    <w:rsid w:val="00912BC8"/>
    <w:rsid w:val="00914946"/>
    <w:rsid w:val="00914F50"/>
    <w:rsid w:val="00915ACD"/>
    <w:rsid w:val="00915B3B"/>
    <w:rsid w:val="00915D5F"/>
    <w:rsid w:val="00916F0B"/>
    <w:rsid w:val="009174B0"/>
    <w:rsid w:val="00917DEF"/>
    <w:rsid w:val="00920700"/>
    <w:rsid w:val="00921721"/>
    <w:rsid w:val="009227B6"/>
    <w:rsid w:val="00922DB7"/>
    <w:rsid w:val="00922E42"/>
    <w:rsid w:val="00923D42"/>
    <w:rsid w:val="00925353"/>
    <w:rsid w:val="0092641E"/>
    <w:rsid w:val="00926D04"/>
    <w:rsid w:val="00927A4B"/>
    <w:rsid w:val="00927E8A"/>
    <w:rsid w:val="00930F36"/>
    <w:rsid w:val="00935019"/>
    <w:rsid w:val="00935850"/>
    <w:rsid w:val="009412C7"/>
    <w:rsid w:val="00942195"/>
    <w:rsid w:val="009426A6"/>
    <w:rsid w:val="00942E56"/>
    <w:rsid w:val="00943569"/>
    <w:rsid w:val="00944230"/>
    <w:rsid w:val="009450FF"/>
    <w:rsid w:val="009459D0"/>
    <w:rsid w:val="00945B3B"/>
    <w:rsid w:val="00946B16"/>
    <w:rsid w:val="00946D67"/>
    <w:rsid w:val="00947BC5"/>
    <w:rsid w:val="00947CB2"/>
    <w:rsid w:val="00947F24"/>
    <w:rsid w:val="00950149"/>
    <w:rsid w:val="00951F63"/>
    <w:rsid w:val="009521FE"/>
    <w:rsid w:val="00952D04"/>
    <w:rsid w:val="00952D2A"/>
    <w:rsid w:val="00954297"/>
    <w:rsid w:val="0095430E"/>
    <w:rsid w:val="00956D66"/>
    <w:rsid w:val="00960E7A"/>
    <w:rsid w:val="00960FE7"/>
    <w:rsid w:val="00962479"/>
    <w:rsid w:val="009626F7"/>
    <w:rsid w:val="009634DE"/>
    <w:rsid w:val="009635D9"/>
    <w:rsid w:val="0096534E"/>
    <w:rsid w:val="00966F1E"/>
    <w:rsid w:val="00970231"/>
    <w:rsid w:val="00971519"/>
    <w:rsid w:val="00974B4B"/>
    <w:rsid w:val="009755F7"/>
    <w:rsid w:val="0097703C"/>
    <w:rsid w:val="0098120D"/>
    <w:rsid w:val="009812A0"/>
    <w:rsid w:val="00981A23"/>
    <w:rsid w:val="00981A75"/>
    <w:rsid w:val="0098357C"/>
    <w:rsid w:val="009842EC"/>
    <w:rsid w:val="0098472B"/>
    <w:rsid w:val="009849AB"/>
    <w:rsid w:val="0098523F"/>
    <w:rsid w:val="009874F1"/>
    <w:rsid w:val="00991772"/>
    <w:rsid w:val="00992409"/>
    <w:rsid w:val="00992874"/>
    <w:rsid w:val="00995AE6"/>
    <w:rsid w:val="00995C55"/>
    <w:rsid w:val="009A0260"/>
    <w:rsid w:val="009A03CC"/>
    <w:rsid w:val="009A103F"/>
    <w:rsid w:val="009A27B5"/>
    <w:rsid w:val="009A43C3"/>
    <w:rsid w:val="009A48B9"/>
    <w:rsid w:val="009A5AAC"/>
    <w:rsid w:val="009A60AA"/>
    <w:rsid w:val="009A62BA"/>
    <w:rsid w:val="009A69B1"/>
    <w:rsid w:val="009A7E45"/>
    <w:rsid w:val="009B26D0"/>
    <w:rsid w:val="009B2917"/>
    <w:rsid w:val="009B2FBF"/>
    <w:rsid w:val="009B3AF1"/>
    <w:rsid w:val="009B57BF"/>
    <w:rsid w:val="009B6534"/>
    <w:rsid w:val="009C331A"/>
    <w:rsid w:val="009C5B10"/>
    <w:rsid w:val="009C6730"/>
    <w:rsid w:val="009C712A"/>
    <w:rsid w:val="009C754C"/>
    <w:rsid w:val="009C762C"/>
    <w:rsid w:val="009D02DE"/>
    <w:rsid w:val="009D08AC"/>
    <w:rsid w:val="009D3BA1"/>
    <w:rsid w:val="009D4535"/>
    <w:rsid w:val="009D6F8C"/>
    <w:rsid w:val="009E1710"/>
    <w:rsid w:val="009E192E"/>
    <w:rsid w:val="009E2F7A"/>
    <w:rsid w:val="009E3894"/>
    <w:rsid w:val="009E4A2E"/>
    <w:rsid w:val="009E70FB"/>
    <w:rsid w:val="009F0CCF"/>
    <w:rsid w:val="009F0FC6"/>
    <w:rsid w:val="009F2209"/>
    <w:rsid w:val="009F3869"/>
    <w:rsid w:val="009F50C5"/>
    <w:rsid w:val="009F511E"/>
    <w:rsid w:val="00A01521"/>
    <w:rsid w:val="00A04B28"/>
    <w:rsid w:val="00A0699D"/>
    <w:rsid w:val="00A06AE9"/>
    <w:rsid w:val="00A0786A"/>
    <w:rsid w:val="00A1027B"/>
    <w:rsid w:val="00A10C49"/>
    <w:rsid w:val="00A12514"/>
    <w:rsid w:val="00A1255D"/>
    <w:rsid w:val="00A13DF1"/>
    <w:rsid w:val="00A14E36"/>
    <w:rsid w:val="00A1592D"/>
    <w:rsid w:val="00A15A79"/>
    <w:rsid w:val="00A15B27"/>
    <w:rsid w:val="00A15C50"/>
    <w:rsid w:val="00A175CD"/>
    <w:rsid w:val="00A17DD8"/>
    <w:rsid w:val="00A204E9"/>
    <w:rsid w:val="00A21710"/>
    <w:rsid w:val="00A22E26"/>
    <w:rsid w:val="00A24CEE"/>
    <w:rsid w:val="00A24E68"/>
    <w:rsid w:val="00A27502"/>
    <w:rsid w:val="00A27BF2"/>
    <w:rsid w:val="00A3150D"/>
    <w:rsid w:val="00A3470B"/>
    <w:rsid w:val="00A36DC2"/>
    <w:rsid w:val="00A3779A"/>
    <w:rsid w:val="00A37897"/>
    <w:rsid w:val="00A40848"/>
    <w:rsid w:val="00A44E9D"/>
    <w:rsid w:val="00A5213F"/>
    <w:rsid w:val="00A52A89"/>
    <w:rsid w:val="00A52C12"/>
    <w:rsid w:val="00A5338B"/>
    <w:rsid w:val="00A53F33"/>
    <w:rsid w:val="00A55F32"/>
    <w:rsid w:val="00A56721"/>
    <w:rsid w:val="00A56C5F"/>
    <w:rsid w:val="00A576BC"/>
    <w:rsid w:val="00A601D1"/>
    <w:rsid w:val="00A62ADF"/>
    <w:rsid w:val="00A62F19"/>
    <w:rsid w:val="00A647DE"/>
    <w:rsid w:val="00A64AFC"/>
    <w:rsid w:val="00A6643C"/>
    <w:rsid w:val="00A66B5F"/>
    <w:rsid w:val="00A6772A"/>
    <w:rsid w:val="00A70F1B"/>
    <w:rsid w:val="00A729C8"/>
    <w:rsid w:val="00A73E1C"/>
    <w:rsid w:val="00A74E06"/>
    <w:rsid w:val="00A75AA6"/>
    <w:rsid w:val="00A75D78"/>
    <w:rsid w:val="00A809CE"/>
    <w:rsid w:val="00A818B6"/>
    <w:rsid w:val="00A81911"/>
    <w:rsid w:val="00A8275B"/>
    <w:rsid w:val="00A828E6"/>
    <w:rsid w:val="00A82F24"/>
    <w:rsid w:val="00A84C97"/>
    <w:rsid w:val="00A85C0A"/>
    <w:rsid w:val="00A85EFB"/>
    <w:rsid w:val="00A860D2"/>
    <w:rsid w:val="00A86150"/>
    <w:rsid w:val="00A86F9C"/>
    <w:rsid w:val="00AA0E73"/>
    <w:rsid w:val="00AA182E"/>
    <w:rsid w:val="00AA2371"/>
    <w:rsid w:val="00AA44B6"/>
    <w:rsid w:val="00AB208A"/>
    <w:rsid w:val="00AB4DF0"/>
    <w:rsid w:val="00AB52AC"/>
    <w:rsid w:val="00AB67CA"/>
    <w:rsid w:val="00AC2519"/>
    <w:rsid w:val="00AC2671"/>
    <w:rsid w:val="00AC2CD9"/>
    <w:rsid w:val="00AC34FA"/>
    <w:rsid w:val="00AC44F1"/>
    <w:rsid w:val="00AC54AB"/>
    <w:rsid w:val="00AC5EC0"/>
    <w:rsid w:val="00AD004C"/>
    <w:rsid w:val="00AD2140"/>
    <w:rsid w:val="00AD3218"/>
    <w:rsid w:val="00AD3DB4"/>
    <w:rsid w:val="00AD6FBB"/>
    <w:rsid w:val="00AD7273"/>
    <w:rsid w:val="00AD7825"/>
    <w:rsid w:val="00AD7D2D"/>
    <w:rsid w:val="00AE0B26"/>
    <w:rsid w:val="00AE51D6"/>
    <w:rsid w:val="00AE5C0D"/>
    <w:rsid w:val="00AE6B3F"/>
    <w:rsid w:val="00AF09DA"/>
    <w:rsid w:val="00AF23F7"/>
    <w:rsid w:val="00AF48DC"/>
    <w:rsid w:val="00AF6A35"/>
    <w:rsid w:val="00AF77E6"/>
    <w:rsid w:val="00B00195"/>
    <w:rsid w:val="00B01316"/>
    <w:rsid w:val="00B030FB"/>
    <w:rsid w:val="00B03126"/>
    <w:rsid w:val="00B03173"/>
    <w:rsid w:val="00B03DDC"/>
    <w:rsid w:val="00B04BFC"/>
    <w:rsid w:val="00B04C05"/>
    <w:rsid w:val="00B04C0D"/>
    <w:rsid w:val="00B05C1D"/>
    <w:rsid w:val="00B076A5"/>
    <w:rsid w:val="00B10251"/>
    <w:rsid w:val="00B1280C"/>
    <w:rsid w:val="00B1298B"/>
    <w:rsid w:val="00B13FF0"/>
    <w:rsid w:val="00B207E3"/>
    <w:rsid w:val="00B21109"/>
    <w:rsid w:val="00B21E16"/>
    <w:rsid w:val="00B229F8"/>
    <w:rsid w:val="00B22FB7"/>
    <w:rsid w:val="00B2317D"/>
    <w:rsid w:val="00B2620D"/>
    <w:rsid w:val="00B27EDD"/>
    <w:rsid w:val="00B3083E"/>
    <w:rsid w:val="00B31B0B"/>
    <w:rsid w:val="00B34999"/>
    <w:rsid w:val="00B34E17"/>
    <w:rsid w:val="00B426FE"/>
    <w:rsid w:val="00B45A92"/>
    <w:rsid w:val="00B46D16"/>
    <w:rsid w:val="00B50482"/>
    <w:rsid w:val="00B5333C"/>
    <w:rsid w:val="00B53E7B"/>
    <w:rsid w:val="00B54C4A"/>
    <w:rsid w:val="00B55780"/>
    <w:rsid w:val="00B57D4E"/>
    <w:rsid w:val="00B57DBD"/>
    <w:rsid w:val="00B6094E"/>
    <w:rsid w:val="00B60D7E"/>
    <w:rsid w:val="00B6208B"/>
    <w:rsid w:val="00B62562"/>
    <w:rsid w:val="00B62807"/>
    <w:rsid w:val="00B62A7D"/>
    <w:rsid w:val="00B62D88"/>
    <w:rsid w:val="00B63839"/>
    <w:rsid w:val="00B644AD"/>
    <w:rsid w:val="00B64B00"/>
    <w:rsid w:val="00B66703"/>
    <w:rsid w:val="00B70E1C"/>
    <w:rsid w:val="00B72AC2"/>
    <w:rsid w:val="00B72D86"/>
    <w:rsid w:val="00B72E13"/>
    <w:rsid w:val="00B74566"/>
    <w:rsid w:val="00B75237"/>
    <w:rsid w:val="00B7576E"/>
    <w:rsid w:val="00B762D5"/>
    <w:rsid w:val="00B77677"/>
    <w:rsid w:val="00B80287"/>
    <w:rsid w:val="00B81721"/>
    <w:rsid w:val="00B82466"/>
    <w:rsid w:val="00B83CB1"/>
    <w:rsid w:val="00B843C0"/>
    <w:rsid w:val="00B844B8"/>
    <w:rsid w:val="00B846A9"/>
    <w:rsid w:val="00B85217"/>
    <w:rsid w:val="00B85602"/>
    <w:rsid w:val="00B856CA"/>
    <w:rsid w:val="00B87088"/>
    <w:rsid w:val="00B91A37"/>
    <w:rsid w:val="00B91A58"/>
    <w:rsid w:val="00B929CA"/>
    <w:rsid w:val="00B93800"/>
    <w:rsid w:val="00B93B25"/>
    <w:rsid w:val="00B94AD2"/>
    <w:rsid w:val="00B94CFF"/>
    <w:rsid w:val="00BA03CE"/>
    <w:rsid w:val="00BA0904"/>
    <w:rsid w:val="00BA31C0"/>
    <w:rsid w:val="00BA4DB6"/>
    <w:rsid w:val="00BA587E"/>
    <w:rsid w:val="00BA5CC4"/>
    <w:rsid w:val="00BA5D60"/>
    <w:rsid w:val="00BA6BCF"/>
    <w:rsid w:val="00BB17A4"/>
    <w:rsid w:val="00BB68EB"/>
    <w:rsid w:val="00BB6DB0"/>
    <w:rsid w:val="00BB7113"/>
    <w:rsid w:val="00BB79FE"/>
    <w:rsid w:val="00BC1967"/>
    <w:rsid w:val="00BC1D77"/>
    <w:rsid w:val="00BC2DCE"/>
    <w:rsid w:val="00BC3283"/>
    <w:rsid w:val="00BC53EA"/>
    <w:rsid w:val="00BC5A57"/>
    <w:rsid w:val="00BC7909"/>
    <w:rsid w:val="00BC7A57"/>
    <w:rsid w:val="00BC7DC8"/>
    <w:rsid w:val="00BD0626"/>
    <w:rsid w:val="00BD0C7D"/>
    <w:rsid w:val="00BD1864"/>
    <w:rsid w:val="00BD2D76"/>
    <w:rsid w:val="00BD34BA"/>
    <w:rsid w:val="00BD45C5"/>
    <w:rsid w:val="00BE015E"/>
    <w:rsid w:val="00BE066C"/>
    <w:rsid w:val="00BE0FCE"/>
    <w:rsid w:val="00BE204E"/>
    <w:rsid w:val="00BE38B9"/>
    <w:rsid w:val="00BE399D"/>
    <w:rsid w:val="00BE461C"/>
    <w:rsid w:val="00BE5E28"/>
    <w:rsid w:val="00BE73ED"/>
    <w:rsid w:val="00BE782C"/>
    <w:rsid w:val="00BF08A8"/>
    <w:rsid w:val="00BF1F3E"/>
    <w:rsid w:val="00BF3689"/>
    <w:rsid w:val="00BF36C0"/>
    <w:rsid w:val="00BF4458"/>
    <w:rsid w:val="00BF630C"/>
    <w:rsid w:val="00BF77B6"/>
    <w:rsid w:val="00C0028B"/>
    <w:rsid w:val="00C0331A"/>
    <w:rsid w:val="00C04961"/>
    <w:rsid w:val="00C0499E"/>
    <w:rsid w:val="00C053B8"/>
    <w:rsid w:val="00C13151"/>
    <w:rsid w:val="00C135AF"/>
    <w:rsid w:val="00C13C6D"/>
    <w:rsid w:val="00C14C2B"/>
    <w:rsid w:val="00C15CFA"/>
    <w:rsid w:val="00C15EA0"/>
    <w:rsid w:val="00C17AE5"/>
    <w:rsid w:val="00C21395"/>
    <w:rsid w:val="00C213A5"/>
    <w:rsid w:val="00C22213"/>
    <w:rsid w:val="00C2335E"/>
    <w:rsid w:val="00C2508D"/>
    <w:rsid w:val="00C3145C"/>
    <w:rsid w:val="00C31474"/>
    <w:rsid w:val="00C318E1"/>
    <w:rsid w:val="00C32D46"/>
    <w:rsid w:val="00C33065"/>
    <w:rsid w:val="00C338C7"/>
    <w:rsid w:val="00C33CE4"/>
    <w:rsid w:val="00C35402"/>
    <w:rsid w:val="00C364A4"/>
    <w:rsid w:val="00C40D67"/>
    <w:rsid w:val="00C40E85"/>
    <w:rsid w:val="00C474DF"/>
    <w:rsid w:val="00C51064"/>
    <w:rsid w:val="00C517B9"/>
    <w:rsid w:val="00C51DFB"/>
    <w:rsid w:val="00C55A91"/>
    <w:rsid w:val="00C55BD0"/>
    <w:rsid w:val="00C57305"/>
    <w:rsid w:val="00C57B7B"/>
    <w:rsid w:val="00C57E5B"/>
    <w:rsid w:val="00C61401"/>
    <w:rsid w:val="00C6142B"/>
    <w:rsid w:val="00C6504E"/>
    <w:rsid w:val="00C6692A"/>
    <w:rsid w:val="00C71886"/>
    <w:rsid w:val="00C71E68"/>
    <w:rsid w:val="00C732EA"/>
    <w:rsid w:val="00C7373F"/>
    <w:rsid w:val="00C7449F"/>
    <w:rsid w:val="00C74575"/>
    <w:rsid w:val="00C7599A"/>
    <w:rsid w:val="00C75D9A"/>
    <w:rsid w:val="00C7677A"/>
    <w:rsid w:val="00C77B12"/>
    <w:rsid w:val="00C80EEB"/>
    <w:rsid w:val="00C828F0"/>
    <w:rsid w:val="00C847D6"/>
    <w:rsid w:val="00C87979"/>
    <w:rsid w:val="00C9182A"/>
    <w:rsid w:val="00C9329B"/>
    <w:rsid w:val="00C93D46"/>
    <w:rsid w:val="00C94976"/>
    <w:rsid w:val="00C95857"/>
    <w:rsid w:val="00CA09F2"/>
    <w:rsid w:val="00CA0BA4"/>
    <w:rsid w:val="00CA2557"/>
    <w:rsid w:val="00CA30B0"/>
    <w:rsid w:val="00CA408A"/>
    <w:rsid w:val="00CA4AFD"/>
    <w:rsid w:val="00CA5D45"/>
    <w:rsid w:val="00CA7AA4"/>
    <w:rsid w:val="00CB0851"/>
    <w:rsid w:val="00CB19F3"/>
    <w:rsid w:val="00CB2EF6"/>
    <w:rsid w:val="00CB34A2"/>
    <w:rsid w:val="00CB78A4"/>
    <w:rsid w:val="00CC2E38"/>
    <w:rsid w:val="00CC32B3"/>
    <w:rsid w:val="00CC33F0"/>
    <w:rsid w:val="00CC6AF5"/>
    <w:rsid w:val="00CC7549"/>
    <w:rsid w:val="00CD0BB9"/>
    <w:rsid w:val="00CD2CA3"/>
    <w:rsid w:val="00CD3564"/>
    <w:rsid w:val="00CD6DFA"/>
    <w:rsid w:val="00CD7089"/>
    <w:rsid w:val="00CE0F39"/>
    <w:rsid w:val="00CE1294"/>
    <w:rsid w:val="00CE693B"/>
    <w:rsid w:val="00CE6C16"/>
    <w:rsid w:val="00CE7320"/>
    <w:rsid w:val="00CF1ED6"/>
    <w:rsid w:val="00CF2753"/>
    <w:rsid w:val="00CF3330"/>
    <w:rsid w:val="00CF3707"/>
    <w:rsid w:val="00CF3C67"/>
    <w:rsid w:val="00CF5F04"/>
    <w:rsid w:val="00CF6151"/>
    <w:rsid w:val="00D00572"/>
    <w:rsid w:val="00D02206"/>
    <w:rsid w:val="00D02299"/>
    <w:rsid w:val="00D02548"/>
    <w:rsid w:val="00D044EB"/>
    <w:rsid w:val="00D10CCD"/>
    <w:rsid w:val="00D12A54"/>
    <w:rsid w:val="00D14EB6"/>
    <w:rsid w:val="00D15448"/>
    <w:rsid w:val="00D15AE7"/>
    <w:rsid w:val="00D15FDB"/>
    <w:rsid w:val="00D1648C"/>
    <w:rsid w:val="00D17AF8"/>
    <w:rsid w:val="00D20143"/>
    <w:rsid w:val="00D21EC8"/>
    <w:rsid w:val="00D22EF2"/>
    <w:rsid w:val="00D237D0"/>
    <w:rsid w:val="00D24564"/>
    <w:rsid w:val="00D266FF"/>
    <w:rsid w:val="00D27EE9"/>
    <w:rsid w:val="00D315B5"/>
    <w:rsid w:val="00D32B3D"/>
    <w:rsid w:val="00D36687"/>
    <w:rsid w:val="00D3707F"/>
    <w:rsid w:val="00D40078"/>
    <w:rsid w:val="00D4206D"/>
    <w:rsid w:val="00D4315A"/>
    <w:rsid w:val="00D44B94"/>
    <w:rsid w:val="00D45C5C"/>
    <w:rsid w:val="00D469BB"/>
    <w:rsid w:val="00D4753C"/>
    <w:rsid w:val="00D50808"/>
    <w:rsid w:val="00D50BC6"/>
    <w:rsid w:val="00D515B7"/>
    <w:rsid w:val="00D51CC1"/>
    <w:rsid w:val="00D529C9"/>
    <w:rsid w:val="00D53446"/>
    <w:rsid w:val="00D5374A"/>
    <w:rsid w:val="00D60448"/>
    <w:rsid w:val="00D61544"/>
    <w:rsid w:val="00D63751"/>
    <w:rsid w:val="00D63F0E"/>
    <w:rsid w:val="00D676E6"/>
    <w:rsid w:val="00D70981"/>
    <w:rsid w:val="00D71861"/>
    <w:rsid w:val="00D75559"/>
    <w:rsid w:val="00D770BE"/>
    <w:rsid w:val="00D800CC"/>
    <w:rsid w:val="00D81491"/>
    <w:rsid w:val="00D8285C"/>
    <w:rsid w:val="00D834D3"/>
    <w:rsid w:val="00D84201"/>
    <w:rsid w:val="00D858BD"/>
    <w:rsid w:val="00D86B4D"/>
    <w:rsid w:val="00D87E4E"/>
    <w:rsid w:val="00D92A48"/>
    <w:rsid w:val="00D936CB"/>
    <w:rsid w:val="00D938FD"/>
    <w:rsid w:val="00D942F5"/>
    <w:rsid w:val="00D94D58"/>
    <w:rsid w:val="00D94D7B"/>
    <w:rsid w:val="00D9782D"/>
    <w:rsid w:val="00DA0963"/>
    <w:rsid w:val="00DA3013"/>
    <w:rsid w:val="00DA38E9"/>
    <w:rsid w:val="00DA4243"/>
    <w:rsid w:val="00DA4D53"/>
    <w:rsid w:val="00DA5156"/>
    <w:rsid w:val="00DB43CA"/>
    <w:rsid w:val="00DB6F86"/>
    <w:rsid w:val="00DB7C24"/>
    <w:rsid w:val="00DC0566"/>
    <w:rsid w:val="00DC06D6"/>
    <w:rsid w:val="00DC3330"/>
    <w:rsid w:val="00DC45F2"/>
    <w:rsid w:val="00DC65E5"/>
    <w:rsid w:val="00DC7D1B"/>
    <w:rsid w:val="00DD1C74"/>
    <w:rsid w:val="00DD1CD5"/>
    <w:rsid w:val="00DD2E79"/>
    <w:rsid w:val="00DD4629"/>
    <w:rsid w:val="00DD497B"/>
    <w:rsid w:val="00DD4E72"/>
    <w:rsid w:val="00DE329F"/>
    <w:rsid w:val="00DE3552"/>
    <w:rsid w:val="00DE79C4"/>
    <w:rsid w:val="00DF0254"/>
    <w:rsid w:val="00DF0B1F"/>
    <w:rsid w:val="00DF285B"/>
    <w:rsid w:val="00DF314F"/>
    <w:rsid w:val="00DF3F28"/>
    <w:rsid w:val="00DF45E8"/>
    <w:rsid w:val="00DF5C60"/>
    <w:rsid w:val="00DF5FA5"/>
    <w:rsid w:val="00E0014D"/>
    <w:rsid w:val="00E00191"/>
    <w:rsid w:val="00E01385"/>
    <w:rsid w:val="00E01903"/>
    <w:rsid w:val="00E02368"/>
    <w:rsid w:val="00E0315C"/>
    <w:rsid w:val="00E03515"/>
    <w:rsid w:val="00E03B20"/>
    <w:rsid w:val="00E040DB"/>
    <w:rsid w:val="00E04378"/>
    <w:rsid w:val="00E05AF8"/>
    <w:rsid w:val="00E10D69"/>
    <w:rsid w:val="00E11223"/>
    <w:rsid w:val="00E12903"/>
    <w:rsid w:val="00E13E8C"/>
    <w:rsid w:val="00E17282"/>
    <w:rsid w:val="00E17527"/>
    <w:rsid w:val="00E17902"/>
    <w:rsid w:val="00E230F9"/>
    <w:rsid w:val="00E306BC"/>
    <w:rsid w:val="00E3200A"/>
    <w:rsid w:val="00E32BF3"/>
    <w:rsid w:val="00E3302A"/>
    <w:rsid w:val="00E35E8C"/>
    <w:rsid w:val="00E3669B"/>
    <w:rsid w:val="00E36F06"/>
    <w:rsid w:val="00E40482"/>
    <w:rsid w:val="00E40EB3"/>
    <w:rsid w:val="00E4192A"/>
    <w:rsid w:val="00E42BA5"/>
    <w:rsid w:val="00E45AEA"/>
    <w:rsid w:val="00E45D28"/>
    <w:rsid w:val="00E47475"/>
    <w:rsid w:val="00E474E0"/>
    <w:rsid w:val="00E50077"/>
    <w:rsid w:val="00E50CAF"/>
    <w:rsid w:val="00E50E36"/>
    <w:rsid w:val="00E5251B"/>
    <w:rsid w:val="00E52F17"/>
    <w:rsid w:val="00E5423B"/>
    <w:rsid w:val="00E54F15"/>
    <w:rsid w:val="00E557F9"/>
    <w:rsid w:val="00E56B26"/>
    <w:rsid w:val="00E56BE9"/>
    <w:rsid w:val="00E61C8E"/>
    <w:rsid w:val="00E61F59"/>
    <w:rsid w:val="00E63B76"/>
    <w:rsid w:val="00E6785B"/>
    <w:rsid w:val="00E716B9"/>
    <w:rsid w:val="00E72937"/>
    <w:rsid w:val="00E72CBD"/>
    <w:rsid w:val="00E74955"/>
    <w:rsid w:val="00E75B81"/>
    <w:rsid w:val="00E75FF6"/>
    <w:rsid w:val="00E80C30"/>
    <w:rsid w:val="00E81AEF"/>
    <w:rsid w:val="00E8280F"/>
    <w:rsid w:val="00E83242"/>
    <w:rsid w:val="00E838F8"/>
    <w:rsid w:val="00E8473C"/>
    <w:rsid w:val="00E86001"/>
    <w:rsid w:val="00E8613C"/>
    <w:rsid w:val="00E9061E"/>
    <w:rsid w:val="00E911A8"/>
    <w:rsid w:val="00E93E46"/>
    <w:rsid w:val="00E950A7"/>
    <w:rsid w:val="00E95BDD"/>
    <w:rsid w:val="00E97D99"/>
    <w:rsid w:val="00EA02F7"/>
    <w:rsid w:val="00EA11B8"/>
    <w:rsid w:val="00EA39FA"/>
    <w:rsid w:val="00EA52AA"/>
    <w:rsid w:val="00EA63FC"/>
    <w:rsid w:val="00EB0A46"/>
    <w:rsid w:val="00EB0C7C"/>
    <w:rsid w:val="00EB3E7D"/>
    <w:rsid w:val="00EB7366"/>
    <w:rsid w:val="00EB75F7"/>
    <w:rsid w:val="00EC0124"/>
    <w:rsid w:val="00EC2B03"/>
    <w:rsid w:val="00EC4654"/>
    <w:rsid w:val="00EC4A28"/>
    <w:rsid w:val="00EC6516"/>
    <w:rsid w:val="00EC6541"/>
    <w:rsid w:val="00EC69E9"/>
    <w:rsid w:val="00EC714F"/>
    <w:rsid w:val="00ED05E2"/>
    <w:rsid w:val="00ED0B70"/>
    <w:rsid w:val="00ED1230"/>
    <w:rsid w:val="00ED1458"/>
    <w:rsid w:val="00ED6662"/>
    <w:rsid w:val="00ED6BAC"/>
    <w:rsid w:val="00ED7F6D"/>
    <w:rsid w:val="00EE2D9D"/>
    <w:rsid w:val="00EE75F7"/>
    <w:rsid w:val="00EE7FED"/>
    <w:rsid w:val="00EF0B34"/>
    <w:rsid w:val="00EF2612"/>
    <w:rsid w:val="00EF53EC"/>
    <w:rsid w:val="00EF74D8"/>
    <w:rsid w:val="00F01473"/>
    <w:rsid w:val="00F045AB"/>
    <w:rsid w:val="00F05662"/>
    <w:rsid w:val="00F062E1"/>
    <w:rsid w:val="00F10ADA"/>
    <w:rsid w:val="00F115AD"/>
    <w:rsid w:val="00F11E3D"/>
    <w:rsid w:val="00F12318"/>
    <w:rsid w:val="00F12668"/>
    <w:rsid w:val="00F1292C"/>
    <w:rsid w:val="00F147A9"/>
    <w:rsid w:val="00F153AB"/>
    <w:rsid w:val="00F155BE"/>
    <w:rsid w:val="00F165DF"/>
    <w:rsid w:val="00F16A3D"/>
    <w:rsid w:val="00F16C6A"/>
    <w:rsid w:val="00F20043"/>
    <w:rsid w:val="00F2061A"/>
    <w:rsid w:val="00F207D4"/>
    <w:rsid w:val="00F2172A"/>
    <w:rsid w:val="00F21C5F"/>
    <w:rsid w:val="00F227FE"/>
    <w:rsid w:val="00F23EDC"/>
    <w:rsid w:val="00F24385"/>
    <w:rsid w:val="00F2454C"/>
    <w:rsid w:val="00F24BD8"/>
    <w:rsid w:val="00F26544"/>
    <w:rsid w:val="00F30047"/>
    <w:rsid w:val="00F32ADA"/>
    <w:rsid w:val="00F33BCC"/>
    <w:rsid w:val="00F34187"/>
    <w:rsid w:val="00F35E26"/>
    <w:rsid w:val="00F43493"/>
    <w:rsid w:val="00F43515"/>
    <w:rsid w:val="00F43B13"/>
    <w:rsid w:val="00F4601C"/>
    <w:rsid w:val="00F479A0"/>
    <w:rsid w:val="00F508B9"/>
    <w:rsid w:val="00F51E0F"/>
    <w:rsid w:val="00F52118"/>
    <w:rsid w:val="00F547CE"/>
    <w:rsid w:val="00F55638"/>
    <w:rsid w:val="00F55A13"/>
    <w:rsid w:val="00F56FA6"/>
    <w:rsid w:val="00F61C76"/>
    <w:rsid w:val="00F62121"/>
    <w:rsid w:val="00F6327F"/>
    <w:rsid w:val="00F643A1"/>
    <w:rsid w:val="00F65A8B"/>
    <w:rsid w:val="00F65BCD"/>
    <w:rsid w:val="00F65F90"/>
    <w:rsid w:val="00F66FBE"/>
    <w:rsid w:val="00F7059C"/>
    <w:rsid w:val="00F72995"/>
    <w:rsid w:val="00F7354F"/>
    <w:rsid w:val="00F73ED8"/>
    <w:rsid w:val="00F765F4"/>
    <w:rsid w:val="00F80249"/>
    <w:rsid w:val="00F81DBE"/>
    <w:rsid w:val="00F81FEA"/>
    <w:rsid w:val="00F82D04"/>
    <w:rsid w:val="00F82E14"/>
    <w:rsid w:val="00F853C9"/>
    <w:rsid w:val="00F859E1"/>
    <w:rsid w:val="00F86009"/>
    <w:rsid w:val="00F87561"/>
    <w:rsid w:val="00F92117"/>
    <w:rsid w:val="00F93D64"/>
    <w:rsid w:val="00F962C9"/>
    <w:rsid w:val="00F963B5"/>
    <w:rsid w:val="00FA14F9"/>
    <w:rsid w:val="00FA1D79"/>
    <w:rsid w:val="00FA1EDE"/>
    <w:rsid w:val="00FA2CCF"/>
    <w:rsid w:val="00FA48F6"/>
    <w:rsid w:val="00FA4C2D"/>
    <w:rsid w:val="00FA7712"/>
    <w:rsid w:val="00FB3837"/>
    <w:rsid w:val="00FB47D1"/>
    <w:rsid w:val="00FB5D3F"/>
    <w:rsid w:val="00FB6041"/>
    <w:rsid w:val="00FB71CB"/>
    <w:rsid w:val="00FB7368"/>
    <w:rsid w:val="00FC0A15"/>
    <w:rsid w:val="00FC0F3B"/>
    <w:rsid w:val="00FC19CF"/>
    <w:rsid w:val="00FC4B0E"/>
    <w:rsid w:val="00FC4CAC"/>
    <w:rsid w:val="00FC7D83"/>
    <w:rsid w:val="00FD035E"/>
    <w:rsid w:val="00FD2D57"/>
    <w:rsid w:val="00FD5064"/>
    <w:rsid w:val="00FD586A"/>
    <w:rsid w:val="00FD6253"/>
    <w:rsid w:val="00FD6681"/>
    <w:rsid w:val="00FD7E0A"/>
    <w:rsid w:val="00FE353A"/>
    <w:rsid w:val="00FE5534"/>
    <w:rsid w:val="00FE6A8E"/>
    <w:rsid w:val="00FE719A"/>
    <w:rsid w:val="00FE7521"/>
    <w:rsid w:val="00FF1475"/>
    <w:rsid w:val="00FF3E6D"/>
    <w:rsid w:val="00FF413D"/>
    <w:rsid w:val="00FF44A9"/>
    <w:rsid w:val="00FF4E8B"/>
    <w:rsid w:val="00FF55F5"/>
    <w:rsid w:val="00FF5865"/>
    <w:rsid w:val="00FF79CC"/>
    <w:rsid w:val="023E44DD"/>
    <w:rsid w:val="08FF6402"/>
    <w:rsid w:val="092B34C5"/>
    <w:rsid w:val="09346F9E"/>
    <w:rsid w:val="0BDF785F"/>
    <w:rsid w:val="0C7402DA"/>
    <w:rsid w:val="0E1C0286"/>
    <w:rsid w:val="0E3D788D"/>
    <w:rsid w:val="10B67FCA"/>
    <w:rsid w:val="10F57D16"/>
    <w:rsid w:val="14F22EDB"/>
    <w:rsid w:val="154C48E9"/>
    <w:rsid w:val="183618FB"/>
    <w:rsid w:val="184D69FD"/>
    <w:rsid w:val="18574779"/>
    <w:rsid w:val="18DC1D24"/>
    <w:rsid w:val="1A1651E1"/>
    <w:rsid w:val="1B030946"/>
    <w:rsid w:val="1B100ACE"/>
    <w:rsid w:val="1EC937DB"/>
    <w:rsid w:val="1FD1089D"/>
    <w:rsid w:val="21596BE5"/>
    <w:rsid w:val="2479679A"/>
    <w:rsid w:val="249D2C73"/>
    <w:rsid w:val="24C46617"/>
    <w:rsid w:val="25FC7793"/>
    <w:rsid w:val="26CD1128"/>
    <w:rsid w:val="27344981"/>
    <w:rsid w:val="273741E4"/>
    <w:rsid w:val="27521B73"/>
    <w:rsid w:val="2830246A"/>
    <w:rsid w:val="29A82584"/>
    <w:rsid w:val="2A4228EA"/>
    <w:rsid w:val="2BBA3EFA"/>
    <w:rsid w:val="2CC053C6"/>
    <w:rsid w:val="2CFB2F4F"/>
    <w:rsid w:val="2DB904ED"/>
    <w:rsid w:val="2FAA23C1"/>
    <w:rsid w:val="30A92D9F"/>
    <w:rsid w:val="3127616C"/>
    <w:rsid w:val="32566650"/>
    <w:rsid w:val="364D125D"/>
    <w:rsid w:val="368C5B95"/>
    <w:rsid w:val="39CA19EE"/>
    <w:rsid w:val="3D352C8F"/>
    <w:rsid w:val="40653678"/>
    <w:rsid w:val="42877F46"/>
    <w:rsid w:val="429517B5"/>
    <w:rsid w:val="42F33EB0"/>
    <w:rsid w:val="43B02BAC"/>
    <w:rsid w:val="44CD20CF"/>
    <w:rsid w:val="465E7EDB"/>
    <w:rsid w:val="46ED21D9"/>
    <w:rsid w:val="49CF073D"/>
    <w:rsid w:val="49CF4DB8"/>
    <w:rsid w:val="4C95684D"/>
    <w:rsid w:val="4CF806AA"/>
    <w:rsid w:val="4D7E73D4"/>
    <w:rsid w:val="4E7C071F"/>
    <w:rsid w:val="4F130A87"/>
    <w:rsid w:val="4F4920C0"/>
    <w:rsid w:val="4F4D444D"/>
    <w:rsid w:val="51A20B79"/>
    <w:rsid w:val="51A4002A"/>
    <w:rsid w:val="51CB2F31"/>
    <w:rsid w:val="526E157A"/>
    <w:rsid w:val="52BE27AA"/>
    <w:rsid w:val="52F3532C"/>
    <w:rsid w:val="535149D8"/>
    <w:rsid w:val="547A499B"/>
    <w:rsid w:val="54AF2DEA"/>
    <w:rsid w:val="5501798A"/>
    <w:rsid w:val="552F07AD"/>
    <w:rsid w:val="55DC77A0"/>
    <w:rsid w:val="55EA2B4F"/>
    <w:rsid w:val="561C43B8"/>
    <w:rsid w:val="58BD6B93"/>
    <w:rsid w:val="597134BC"/>
    <w:rsid w:val="5A205895"/>
    <w:rsid w:val="5B2477CF"/>
    <w:rsid w:val="5D0D4DCB"/>
    <w:rsid w:val="5D2358C6"/>
    <w:rsid w:val="5D553EF6"/>
    <w:rsid w:val="60932804"/>
    <w:rsid w:val="61D96733"/>
    <w:rsid w:val="61F55764"/>
    <w:rsid w:val="693A2EA6"/>
    <w:rsid w:val="709A317E"/>
    <w:rsid w:val="72F95A0F"/>
    <w:rsid w:val="751A03C1"/>
    <w:rsid w:val="76A31AC2"/>
    <w:rsid w:val="78862BB9"/>
    <w:rsid w:val="796A27B8"/>
    <w:rsid w:val="7B3258C7"/>
    <w:rsid w:val="7BBF2E76"/>
    <w:rsid w:val="7CD060AD"/>
    <w:rsid w:val="7EB402EB"/>
    <w:rsid w:val="7F2C6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qFormat/>
    <w:uiPriority w:val="99"/>
    <w:rPr>
      <w:sz w:val="24"/>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
    <w:name w:val="Light Shading Accent 4"/>
    <w:basedOn w:val="6"/>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10">
    <w:name w:val="FollowedHyperlink"/>
    <w:basedOn w:val="9"/>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批注框文本 字符"/>
    <w:basedOn w:val="9"/>
    <w:link w:val="2"/>
    <w:semiHidden/>
    <w:qFormat/>
    <w:uiPriority w:val="99"/>
    <w:rPr>
      <w:sz w:val="18"/>
      <w:szCs w:val="18"/>
    </w:rPr>
  </w:style>
  <w:style w:type="paragraph" w:customStyle="1" w:styleId="13">
    <w:name w:val="列出段落1"/>
    <w:basedOn w:val="1"/>
    <w:unhideWhenUsed/>
    <w:qFormat/>
    <w:uiPriority w:val="34"/>
    <w:pPr>
      <w:ind w:firstLine="420" w:firstLineChars="200"/>
    </w:pPr>
    <w:rPr>
      <w:rFonts w:ascii="Calibri" w:hAnsi="Calibri" w:eastAsia="宋体" w:cs="黑体"/>
    </w:rPr>
  </w:style>
  <w:style w:type="paragraph" w:customStyle="1" w:styleId="14">
    <w:name w:val="fbl_gitit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
    <w:name w:val="fbl_gityp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
    <w:name w:val="fbl_gilegend"/>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
    <w:name w:val="fbl_gipercent"/>
    <w:basedOn w:val="9"/>
    <w:qFormat/>
    <w:uiPriority w:val="0"/>
  </w:style>
  <w:style w:type="character" w:customStyle="1" w:styleId="18">
    <w:name w:val="fbl_ginumber"/>
    <w:basedOn w:val="9"/>
    <w:qFormat/>
    <w:uiPriority w:val="0"/>
  </w:style>
  <w:style w:type="paragraph" w:customStyle="1" w:styleId="19">
    <w:name w:val="fbl_gipielabe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0">
    <w:name w:val="List Paragraph"/>
    <w:basedOn w:val="1"/>
    <w:qFormat/>
    <w:uiPriority w:val="34"/>
    <w:pPr>
      <w:ind w:firstLine="420" w:firstLineChars="200"/>
    </w:pPr>
  </w:style>
  <w:style w:type="character" w:customStyle="1" w:styleId="21">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baseline="0">
                <a:solidFill>
                  <a:schemeClr val="tx1"/>
                </a:solidFill>
                <a:latin typeface="微软雅黑" panose="020B0503020204020204" pitchFamily="2" charset="-122"/>
                <a:ea typeface="微软雅黑" panose="020B0503020204020204" pitchFamily="2" charset="-122"/>
                <a:cs typeface="+mn-cs"/>
              </a:defRPr>
            </a:pPr>
            <a:r>
              <a:rPr lang="en-US" altLang="zh-CN" sz="1100">
                <a:latin typeface="微软雅黑" panose="020B0503020204020204" pitchFamily="2" charset="-122"/>
                <a:ea typeface="微软雅黑" panose="020B0503020204020204" pitchFamily="2" charset="-122"/>
              </a:rPr>
              <a:t>2023CCBD</a:t>
            </a:r>
            <a:r>
              <a:rPr lang="zh-CN" altLang="en-US" sz="1100">
                <a:latin typeface="微软雅黑" panose="020B0503020204020204" pitchFamily="2" charset="-122"/>
                <a:ea typeface="微软雅黑" panose="020B0503020204020204" pitchFamily="2" charset="-122"/>
              </a:rPr>
              <a:t>观众地域来源</a:t>
            </a:r>
            <a:endParaRPr lang="zh-CN" altLang="en-US" sz="1100">
              <a:latin typeface="微软雅黑" panose="020B0503020204020204" pitchFamily="2" charset="-122"/>
              <a:ea typeface="微软雅黑" panose="020B0503020204020204" pitchFamily="2" charset="-122"/>
            </a:endParaRPr>
          </a:p>
        </c:rich>
      </c:tx>
      <c:layout>
        <c:manualLayout>
          <c:xMode val="edge"/>
          <c:yMode val="edge"/>
          <c:x val="0.00870889546450006"/>
          <c:y val="0"/>
        </c:manualLayout>
      </c:layout>
      <c:overlay val="0"/>
      <c:spPr>
        <a:noFill/>
        <a:ln>
          <a:noFill/>
        </a:ln>
        <a:effectLst/>
      </c:spPr>
    </c:title>
    <c:autoTitleDeleted val="0"/>
    <c:plotArea>
      <c:layout>
        <c:manualLayout>
          <c:layoutTarget val="inner"/>
          <c:xMode val="edge"/>
          <c:yMode val="edge"/>
          <c:x val="0.113599802635637"/>
          <c:y val="0.127774151436031"/>
          <c:w val="0.555905177102596"/>
          <c:h val="0.853633765753171"/>
        </c:manualLayout>
      </c:layout>
      <c:pieChart>
        <c:varyColors val="1"/>
        <c:ser>
          <c:idx val="0"/>
          <c:order val="0"/>
          <c:tx>
            <c:strRef>
              <c:f>Sheet1!$B$1</c:f>
              <c:strCache>
                <c:ptCount val="1"/>
                <c:pt idx="0">
                  <c:v>2023CCBD观众地域来源分布</c:v>
                </c:pt>
              </c:strCache>
            </c:strRef>
          </c:tx>
          <c:spPr/>
          <c:explosion val="0"/>
          <c:dPt>
            <c:idx val="0"/>
            <c:bubble3D val="0"/>
            <c:spPr>
              <a:solidFill>
                <a:schemeClr val="accent1"/>
              </a:solidFill>
              <a:ln>
                <a:noFill/>
              </a:ln>
              <a:effectLst>
                <a:outerShdw blurRad="40000" dist="23000" dir="5400000" rotWithShape="0">
                  <a:srgbClr val="000000">
                    <a:alpha val="35000"/>
                  </a:srgbClr>
                </a:outerShdw>
              </a:effectLst>
            </c:spPr>
          </c:dPt>
          <c:dPt>
            <c:idx val="1"/>
            <c:bubble3D val="0"/>
            <c:spPr>
              <a:solidFill>
                <a:schemeClr val="accent2"/>
              </a:solidFill>
              <a:ln>
                <a:noFill/>
              </a:ln>
              <a:effectLst>
                <a:outerShdw blurRad="40000" dist="23000" dir="5400000" rotWithShape="0">
                  <a:srgbClr val="000000">
                    <a:alpha val="35000"/>
                  </a:srgbClr>
                </a:outerShdw>
              </a:effectLst>
            </c:spPr>
          </c:dPt>
          <c:dPt>
            <c:idx val="2"/>
            <c:bubble3D val="0"/>
            <c:spPr>
              <a:solidFill>
                <a:schemeClr val="accent3"/>
              </a:solidFill>
              <a:ln>
                <a:noFill/>
              </a:ln>
              <a:effectLst>
                <a:outerShdw blurRad="40000" dist="23000" dir="5400000" rotWithShape="0">
                  <a:srgbClr val="000000">
                    <a:alpha val="35000"/>
                  </a:srgbClr>
                </a:outerShdw>
              </a:effectLst>
            </c:spPr>
          </c:dPt>
          <c:dPt>
            <c:idx val="3"/>
            <c:bubble3D val="0"/>
            <c:spPr>
              <a:solidFill>
                <a:schemeClr val="accent4"/>
              </a:solidFill>
              <a:ln>
                <a:noFill/>
              </a:ln>
              <a:effectLst>
                <a:outerShdw blurRad="40000" dist="23000" dir="5400000" rotWithShape="0">
                  <a:srgbClr val="000000">
                    <a:alpha val="35000"/>
                  </a:srgbClr>
                </a:outerShdw>
              </a:effectLst>
            </c:spPr>
          </c:dPt>
          <c:dPt>
            <c:idx val="4"/>
            <c:bubble3D val="0"/>
            <c:spPr>
              <a:solidFill>
                <a:schemeClr val="accent5"/>
              </a:solidFill>
              <a:ln>
                <a:noFill/>
              </a:ln>
              <a:effectLst>
                <a:outerShdw blurRad="40000" dist="23000" dir="5400000" rotWithShape="0">
                  <a:srgbClr val="000000">
                    <a:alpha val="35000"/>
                  </a:srgbClr>
                </a:outerShdw>
              </a:effectLst>
            </c:spPr>
          </c:dPt>
          <c:dPt>
            <c:idx val="5"/>
            <c:bubble3D val="0"/>
            <c:spPr>
              <a:solidFill>
                <a:schemeClr val="accent6"/>
              </a:solidFill>
              <a:ln>
                <a:noFill/>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Sheet1!$A$2:$A$7</c:f>
              <c:strCache>
                <c:ptCount val="6"/>
                <c:pt idx="0">
                  <c:v>四川（58.37%）</c:v>
                </c:pt>
                <c:pt idx="1">
                  <c:v>重庆（18.94%）</c:v>
                </c:pt>
                <c:pt idx="2">
                  <c:v>贵州（9.66%）</c:v>
                </c:pt>
                <c:pt idx="3">
                  <c:v>云南（4.32%）</c:v>
                </c:pt>
                <c:pt idx="4">
                  <c:v>陕西（7.42%）</c:v>
                </c:pt>
                <c:pt idx="5">
                  <c:v>其他区域（1.29%）</c:v>
                </c:pt>
              </c:strCache>
            </c:strRef>
          </c:cat>
          <c:val>
            <c:numRef>
              <c:f>Sheet1!$B$2:$B$7</c:f>
              <c:numCache>
                <c:formatCode>0.00%</c:formatCode>
                <c:ptCount val="6"/>
                <c:pt idx="0">
                  <c:v>0.5837</c:v>
                </c:pt>
                <c:pt idx="1">
                  <c:v>0.1894</c:v>
                </c:pt>
                <c:pt idx="2">
                  <c:v>0.0966</c:v>
                </c:pt>
                <c:pt idx="3">
                  <c:v>0.0432</c:v>
                </c:pt>
                <c:pt idx="4">
                  <c:v>0.0742</c:v>
                </c:pt>
                <c:pt idx="5">
                  <c:v>0.0129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7368277994377"/>
          <c:y val="0.0924461052537924"/>
          <c:w val="0.254850716475974"/>
          <c:h val="0.720141643311535"/>
        </c:manualLayout>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solidFill>
              <a:latin typeface="+mn-lt"/>
              <a:ea typeface="+mn-ea"/>
              <a:cs typeface="+mn-cs"/>
            </a:defRPr>
          </a:pPr>
        </a:p>
      </c:txPr>
    </c:legend>
    <c:plotVisOnly val="1"/>
    <c:dispBlanksAs val="zero"/>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lang="zh-CN" sz="1100" b="1" i="0" u="none" strike="noStrike" kern="1200" cap="all" spc="150" baseline="0">
                <a:solidFill>
                  <a:sysClr val="windowText" lastClr="000000"/>
                </a:solidFill>
                <a:latin typeface="微软雅黑" panose="020B0503020204020204" pitchFamily="2" charset="-122"/>
                <a:ea typeface="微软雅黑" panose="020B0503020204020204" pitchFamily="2" charset="-122"/>
                <a:cs typeface="+mn-cs"/>
              </a:defRPr>
            </a:pPr>
            <a:r>
              <a:rPr lang="en-US" altLang="zh-CN" sz="1100" b="1">
                <a:solidFill>
                  <a:sysClr val="windowText" lastClr="000000"/>
                </a:solidFill>
                <a:latin typeface="微软雅黑" panose="020B0503020204020204" pitchFamily="2" charset="-122"/>
                <a:ea typeface="微软雅黑" panose="020B0503020204020204" pitchFamily="2" charset="-122"/>
              </a:rPr>
              <a:t>2023CCBD</a:t>
            </a:r>
            <a:r>
              <a:rPr lang="zh-CN" altLang="en-US" sz="1100" b="1">
                <a:solidFill>
                  <a:sysClr val="windowText" lastClr="000000"/>
                </a:solidFill>
                <a:latin typeface="微软雅黑" panose="020B0503020204020204" pitchFamily="2" charset="-122"/>
                <a:ea typeface="微软雅黑" panose="020B0503020204020204" pitchFamily="2" charset="-122"/>
              </a:rPr>
              <a:t>观众行业属性</a:t>
            </a:r>
            <a:endParaRPr lang="en-US" altLang="zh-CN" sz="1100" b="1">
              <a:solidFill>
                <a:sysClr val="windowText" lastClr="000000"/>
              </a:solidFill>
              <a:latin typeface="微软雅黑" panose="020B0503020204020204" pitchFamily="2" charset="-122"/>
              <a:ea typeface="微软雅黑" panose="020B0503020204020204" pitchFamily="2" charset="-122"/>
            </a:endParaRPr>
          </a:p>
          <a:p>
            <a:pPr algn="r">
              <a:defRPr lang="zh-CN" sz="1100" b="1" i="0" u="none" strike="noStrike" kern="1200" cap="all" spc="150" baseline="0">
                <a:solidFill>
                  <a:sysClr val="windowText" lastClr="000000"/>
                </a:solidFill>
                <a:latin typeface="微软雅黑" panose="020B0503020204020204" pitchFamily="2" charset="-122"/>
                <a:ea typeface="微软雅黑" panose="020B0503020204020204" pitchFamily="2" charset="-122"/>
                <a:cs typeface="+mn-cs"/>
              </a:defRPr>
            </a:pPr>
            <a:r>
              <a:rPr lang="en-US" altLang="zh-CN" sz="1100" b="1">
                <a:solidFill>
                  <a:sysClr val="windowText" lastClr="000000"/>
                </a:solidFill>
                <a:latin typeface="微软雅黑" panose="020B0503020204020204" pitchFamily="2" charset="-122"/>
                <a:ea typeface="微软雅黑" panose="020B0503020204020204" pitchFamily="2" charset="-122"/>
              </a:rPr>
              <a:t>143152</a:t>
            </a:r>
            <a:r>
              <a:rPr lang="zh-CN" altLang="en-US" sz="1100" b="1">
                <a:solidFill>
                  <a:sysClr val="windowText" lastClr="000000"/>
                </a:solidFill>
                <a:latin typeface="微软雅黑" panose="020B0503020204020204" pitchFamily="2" charset="-122"/>
                <a:ea typeface="微软雅黑" panose="020B0503020204020204" pitchFamily="2" charset="-122"/>
              </a:rPr>
              <a:t>人次观众</a:t>
            </a:r>
            <a:endParaRPr lang="zh-CN" altLang="en-US" sz="1100" b="1">
              <a:solidFill>
                <a:sysClr val="windowText" lastClr="000000"/>
              </a:solidFill>
              <a:latin typeface="微软雅黑" panose="020B0503020204020204" pitchFamily="2" charset="-122"/>
              <a:ea typeface="微软雅黑" panose="020B0503020204020204" pitchFamily="2" charset="-122"/>
            </a:endParaRPr>
          </a:p>
        </c:rich>
      </c:tx>
      <c:layout>
        <c:manualLayout>
          <c:xMode val="edge"/>
          <c:yMode val="edge"/>
          <c:x val="0.629021044619969"/>
          <c:y val="0.0254468081163288"/>
        </c:manualLayout>
      </c:layout>
      <c:overlay val="0"/>
      <c:spPr>
        <a:noFill/>
        <a:ln>
          <a:noFill/>
        </a:ln>
        <a:effectLst/>
      </c:spPr>
    </c:title>
    <c:autoTitleDeleted val="0"/>
    <c:plotArea>
      <c:layout>
        <c:manualLayout>
          <c:layoutTarget val="inner"/>
          <c:xMode val="edge"/>
          <c:yMode val="edge"/>
          <c:x val="0.0898229309100383"/>
          <c:y val="0.138875575335692"/>
          <c:w val="0.84668485994968"/>
          <c:h val="0.51113365904284"/>
        </c:manualLayout>
      </c:layout>
      <c:barChart>
        <c:barDir val="col"/>
        <c:grouping val="clustered"/>
        <c:varyColors val="0"/>
        <c:ser>
          <c:idx val="0"/>
          <c:order val="0"/>
          <c:tx>
            <c:strRef>
              <c:f>Sheet1!$B$1</c:f>
              <c:strCache>
                <c:ptCount val="1"/>
                <c:pt idx="0">
                  <c:v>2023CCBD观众行业属性</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Sheet1!$A$2:$A$10</c:f>
              <c:strCache>
                <c:ptCount val="9"/>
                <c:pt idx="0">
                  <c:v>制造生产厂商</c:v>
                </c:pt>
                <c:pt idx="1">
                  <c:v>经销代理商</c:v>
                </c:pt>
                <c:pt idx="2">
                  <c:v>房地产开发商</c:v>
                </c:pt>
                <c:pt idx="3">
                  <c:v>装饰/工程建设单位</c:v>
                </c:pt>
                <c:pt idx="4">
                  <c:v>设计师/装饰建筑设计院</c:v>
                </c:pt>
                <c:pt idx="5">
                  <c:v>建材家居卖场/产业园区</c:v>
                </c:pt>
                <c:pt idx="6">
                  <c:v>政府机构/行业协会</c:v>
                </c:pt>
                <c:pt idx="7">
                  <c:v>行业媒体</c:v>
                </c:pt>
                <c:pt idx="8">
                  <c:v>其他</c:v>
                </c:pt>
              </c:strCache>
            </c:strRef>
          </c:cat>
          <c:val>
            <c:numRef>
              <c:f>Sheet1!$B$2:$B$10</c:f>
              <c:numCache>
                <c:formatCode>0.00%</c:formatCode>
                <c:ptCount val="9"/>
                <c:pt idx="0">
                  <c:v>0.1669</c:v>
                </c:pt>
                <c:pt idx="1">
                  <c:v>0.4917</c:v>
                </c:pt>
                <c:pt idx="2">
                  <c:v>0.0874</c:v>
                </c:pt>
                <c:pt idx="3">
                  <c:v>0.1424</c:v>
                </c:pt>
                <c:pt idx="4">
                  <c:v>0.0721</c:v>
                </c:pt>
                <c:pt idx="5">
                  <c:v>0.0229</c:v>
                </c:pt>
                <c:pt idx="6">
                  <c:v>0.0053</c:v>
                </c:pt>
                <c:pt idx="7">
                  <c:v>0.0082</c:v>
                </c:pt>
                <c:pt idx="8">
                  <c:v>0.0031</c:v>
                </c:pt>
              </c:numCache>
            </c:numRef>
          </c:val>
        </c:ser>
        <c:dLbls>
          <c:showLegendKey val="0"/>
          <c:showVal val="1"/>
          <c:showCatName val="0"/>
          <c:showSerName val="0"/>
          <c:showPercent val="0"/>
          <c:showBubbleSize val="0"/>
        </c:dLbls>
        <c:gapWidth val="164"/>
        <c:overlap val="-22"/>
        <c:axId val="193540735"/>
        <c:axId val="2064711375"/>
      </c:barChart>
      <c:catAx>
        <c:axId val="193540735"/>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2064711375"/>
        <c:crosses val="autoZero"/>
        <c:auto val="1"/>
        <c:lblAlgn val="ctr"/>
        <c:lblOffset val="100"/>
        <c:noMultiLvlLbl val="0"/>
      </c:catAx>
      <c:valAx>
        <c:axId val="2064711375"/>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3540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C333CA-0D33-4ADA-92BD-FA8BCFC1C7A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550</Words>
  <Characters>3141</Characters>
  <Lines>26</Lines>
  <Paragraphs>7</Paragraphs>
  <TotalTime>2694</TotalTime>
  <ScaleCrop>false</ScaleCrop>
  <LinksUpToDate>false</LinksUpToDate>
  <CharactersWithSpaces>3684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2019-04-30T09:21:00Z</dcterms:created>
  <dc:creator>Zhang, Linyao</dc:creator>
  <cp:lastModifiedBy>杨小欣。 ҉҉҉҉҉҉҉҉</cp:lastModifiedBy>
  <dcterms:modified xsi:type="dcterms:W3CDTF">2023-08-17T06:37:14Z</dcterms:modified>
  <cp:revision>837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MSIP_Label_2bbab825-a111-45e4-86a1-18cee0005896_Enabled">
    <vt:lpwstr>true</vt:lpwstr>
  </property>
  <property fmtid="{D5CDD505-2E9C-101B-9397-08002B2CF9AE}" pid="4" name="MSIP_Label_2bbab825-a111-45e4-86a1-18cee0005896_SetDate">
    <vt:lpwstr>2023-05-25T09:48:37Z</vt:lpwstr>
  </property>
  <property fmtid="{D5CDD505-2E9C-101B-9397-08002B2CF9AE}" pid="5" name="MSIP_Label_2bbab825-a111-45e4-86a1-18cee0005896_Method">
    <vt:lpwstr>Standard</vt:lpwstr>
  </property>
  <property fmtid="{D5CDD505-2E9C-101B-9397-08002B2CF9AE}" pid="6" name="MSIP_Label_2bbab825-a111-45e4-86a1-18cee0005896_Name">
    <vt:lpwstr>2bbab825-a111-45e4-86a1-18cee0005896</vt:lpwstr>
  </property>
  <property fmtid="{D5CDD505-2E9C-101B-9397-08002B2CF9AE}" pid="7" name="MSIP_Label_2bbab825-a111-45e4-86a1-18cee0005896_SiteId">
    <vt:lpwstr>2567d566-604c-408a-8a60-55d0dc9d9d6b</vt:lpwstr>
  </property>
  <property fmtid="{D5CDD505-2E9C-101B-9397-08002B2CF9AE}" pid="8" name="MSIP_Label_2bbab825-a111-45e4-86a1-18cee0005896_ActionId">
    <vt:lpwstr>05783903-8fa8-49bd-845d-3061a076e6ff</vt:lpwstr>
  </property>
  <property fmtid="{D5CDD505-2E9C-101B-9397-08002B2CF9AE}" pid="9" name="MSIP_Label_2bbab825-a111-45e4-86a1-18cee0005896_ContentBits">
    <vt:lpwstr>2</vt:lpwstr>
  </property>
  <property fmtid="{D5CDD505-2E9C-101B-9397-08002B2CF9AE}" pid="10" name="ICV">
    <vt:lpwstr>7F9730B7756B485F9CC26EFA088509B9_12</vt:lpwstr>
  </property>
</Properties>
</file>