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rPr>
          <w:rFonts w:hint="default" w:ascii="仿宋_GB2312" w:eastAsia="宋体" w:cs="Tahoma"/>
          <w:sz w:val="28"/>
          <w:szCs w:val="28"/>
          <w:lang w:val="en-US" w:eastAsia="zh-CN"/>
        </w:rPr>
      </w:pPr>
      <w:r>
        <w:rPr>
          <w:rFonts w:hint="eastAsia"/>
          <w:b/>
          <w:color w:val="000000"/>
          <w:sz w:val="28"/>
          <w:szCs w:val="28"/>
        </w:rPr>
        <w:t xml:space="preserve">TO: 展会负责人                              From: </w:t>
      </w:r>
      <w:r>
        <w:rPr>
          <w:rFonts w:hint="eastAsia"/>
          <w:b/>
          <w:color w:val="000000"/>
          <w:sz w:val="28"/>
          <w:szCs w:val="28"/>
          <w:lang w:eastAsia="zh-CN"/>
        </w:rPr>
        <w:t>王慧</w:t>
      </w:r>
      <w:r>
        <w:rPr>
          <w:rFonts w:hint="eastAsia"/>
          <w:b/>
          <w:color w:val="000000"/>
          <w:sz w:val="28"/>
          <w:szCs w:val="28"/>
          <w:lang w:val="en-US" w:eastAsia="zh-CN"/>
        </w:rPr>
        <w:t xml:space="preserve"> 13260118527</w:t>
      </w:r>
    </w:p>
    <w:p>
      <w:pPr>
        <w:spacing w:line="420" w:lineRule="exact"/>
        <w:rPr>
          <w:rFonts w:hint="eastAsia" w:ascii="黑体" w:eastAsia="黑体"/>
          <w:b/>
          <w:sz w:val="36"/>
          <w:szCs w:val="36"/>
        </w:rPr>
      </w:pPr>
      <w:r>
        <w:rPr>
          <w:rFonts w:hint="eastAsia" w:ascii="黑体" w:eastAsia="黑体"/>
          <w:b/>
          <w:sz w:val="36"/>
          <w:szCs w:val="36"/>
          <w:lang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0</wp:posOffset>
                </wp:positionV>
                <wp:extent cx="6515100" cy="0"/>
                <wp:effectExtent l="0" t="23495" r="7620" b="37465"/>
                <wp:wrapNone/>
                <wp:docPr id="3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ln w="47625" cap="flat" cmpd="thinThick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-9pt;margin-top:0pt;height:0pt;width:513pt;z-index:251661312;mso-width-relative:page;mso-height-relative:page;" filled="f" stroked="t" coordsize="21600,21600" o:gfxdata="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">
                <v:fill on="f" focussize="0,0"/>
                <v:stroke weight="3.75pt" color="#000000" linestyle="thinThick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line="480" w:lineRule="exact"/>
        <w:rPr>
          <w:rFonts w:hint="eastAsia" w:ascii="微软雅黑" w:hAnsi="微软雅黑" w:eastAsia="微软雅黑" w:cs="微软雅黑"/>
          <w:b/>
          <w:bCs w:val="0"/>
          <w:sz w:val="36"/>
          <w:szCs w:val="36"/>
        </w:rPr>
      </w:pPr>
      <w:bookmarkStart w:id="4" w:name="_GoBack"/>
      <w:r>
        <w:rPr>
          <w:rFonts w:hint="eastAsia" w:ascii="微软雅黑" w:hAnsi="微软雅黑" w:eastAsia="微软雅黑" w:cs="微软雅黑"/>
          <w:b/>
          <w:bCs w:val="0"/>
          <w:sz w:val="36"/>
          <w:szCs w:val="36"/>
        </w:rPr>
        <w:t>20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  <w:lang w:val="en-US" w:eastAsia="zh-CN"/>
        </w:rPr>
        <w:t>24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</w:rPr>
        <w:t>第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  <w:lang w:eastAsia="zh-CN"/>
        </w:rPr>
        <w:t>十四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</w:rPr>
        <w:t>届中国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  <w:lang w:eastAsia="zh-CN"/>
        </w:rPr>
        <w:t>南京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</w:rPr>
        <w:t>国际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  <w:lang w:eastAsia="zh-CN"/>
        </w:rPr>
        <w:t>餐饮食材供应链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</w:rPr>
        <w:t>暨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  <w:lang w:eastAsia="zh-CN"/>
        </w:rPr>
        <w:t>预制菜展</w:t>
      </w:r>
      <w:r>
        <w:rPr>
          <w:rFonts w:hint="eastAsia" w:ascii="微软雅黑" w:hAnsi="微软雅黑" w:eastAsia="微软雅黑" w:cs="微软雅黑"/>
          <w:b/>
          <w:bCs w:val="0"/>
          <w:sz w:val="36"/>
          <w:szCs w:val="36"/>
        </w:rPr>
        <w:t>览会</w:t>
      </w:r>
    </w:p>
    <w:bookmarkEnd w:id="4"/>
    <w:p>
      <w:pPr>
        <w:spacing w:line="380" w:lineRule="exact"/>
        <w:jc w:val="center"/>
        <w:rPr>
          <w:rFonts w:hint="eastAsia" w:ascii="宋体" w:hAnsi="宋体"/>
          <w:b/>
          <w:sz w:val="28"/>
          <w:szCs w:val="28"/>
        </w:rPr>
      </w:pPr>
      <w:r>
        <w:rPr>
          <w:rFonts w:hint="eastAsia" w:ascii="宋体" w:hAnsi="宋体"/>
          <w:b/>
          <w:sz w:val="28"/>
          <w:szCs w:val="28"/>
        </w:rPr>
        <w:t xml:space="preserve">2024 the 14th China Nanjing food supply chain and precooked food expo   </w:t>
      </w:r>
      <w:r>
        <w:rPr>
          <w:rFonts w:hint="eastAsia"/>
          <w:b/>
          <w:sz w:val="28"/>
          <w:szCs w:val="28"/>
        </w:rPr>
        <w:t>时间:  20</w:t>
      </w:r>
      <w:r>
        <w:rPr>
          <w:rFonts w:hint="eastAsia"/>
          <w:b/>
          <w:sz w:val="28"/>
          <w:szCs w:val="28"/>
          <w:lang w:val="en-US" w:eastAsia="zh-CN"/>
        </w:rPr>
        <w:t>24</w:t>
      </w:r>
      <w:r>
        <w:rPr>
          <w:rFonts w:hint="eastAsia"/>
          <w:b/>
          <w:sz w:val="28"/>
          <w:szCs w:val="28"/>
        </w:rPr>
        <w:t>年</w:t>
      </w:r>
      <w:r>
        <w:rPr>
          <w:rFonts w:hint="eastAsia"/>
          <w:b/>
          <w:sz w:val="28"/>
          <w:szCs w:val="28"/>
          <w:lang w:val="en-US" w:eastAsia="zh-CN"/>
        </w:rPr>
        <w:t>5</w:t>
      </w:r>
      <w:r>
        <w:rPr>
          <w:rFonts w:hint="eastAsia"/>
          <w:b/>
          <w:sz w:val="28"/>
          <w:szCs w:val="28"/>
        </w:rPr>
        <w:t>月</w:t>
      </w:r>
      <w:r>
        <w:rPr>
          <w:rFonts w:hint="eastAsia"/>
          <w:b/>
          <w:sz w:val="28"/>
          <w:szCs w:val="28"/>
          <w:lang w:val="en-US" w:eastAsia="zh-CN"/>
        </w:rPr>
        <w:t>10-12</w:t>
      </w:r>
      <w:r>
        <w:rPr>
          <w:rFonts w:hint="eastAsia"/>
          <w:b/>
          <w:sz w:val="28"/>
          <w:szCs w:val="28"/>
        </w:rPr>
        <w:t>日</w:t>
      </w:r>
    </w:p>
    <w:p>
      <w:pPr>
        <w:widowControl/>
        <w:snapToGrid w:val="0"/>
        <w:spacing w:before="100" w:beforeAutospacing="1" w:after="100" w:afterAutospacing="1" w:line="380" w:lineRule="exact"/>
        <w:jc w:val="center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    地点：</w:t>
      </w:r>
      <w:r>
        <w:rPr>
          <w:rFonts w:hint="eastAsia"/>
          <w:b/>
          <w:sz w:val="28"/>
          <w:szCs w:val="28"/>
          <w:lang w:eastAsia="zh-CN"/>
        </w:rPr>
        <w:t>南</w:t>
      </w:r>
      <w:r>
        <w:rPr>
          <w:rFonts w:hint="eastAsia"/>
          <w:b/>
          <w:sz w:val="28"/>
          <w:szCs w:val="28"/>
        </w:rPr>
        <w:t>京</w:t>
      </w:r>
      <w:r>
        <w:rPr>
          <w:rFonts w:hint="eastAsia"/>
          <w:b/>
          <w:sz w:val="28"/>
          <w:szCs w:val="28"/>
          <w:lang w:eastAsia="zh-CN"/>
        </w:rPr>
        <w:t>国际展览</w:t>
      </w:r>
      <w:r>
        <w:rPr>
          <w:rFonts w:hint="eastAsia"/>
          <w:b/>
          <w:sz w:val="28"/>
          <w:szCs w:val="28"/>
        </w:rPr>
        <w:t>中心</w:t>
      </w:r>
    </w:p>
    <w:p>
      <w:pPr>
        <w:widowControl/>
        <w:snapToGrid w:val="0"/>
        <w:spacing w:before="100" w:beforeAutospacing="1" w:after="100" w:afterAutospacing="1" w:line="380" w:lineRule="exac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  <w:lang w:val="en-US" w:eastAsia="zh-CN"/>
        </w:rPr>
        <w:t>20多</w:t>
      </w:r>
      <w:r>
        <w:rPr>
          <w:rFonts w:hint="eastAsia"/>
          <w:b/>
          <w:sz w:val="28"/>
          <w:szCs w:val="28"/>
        </w:rPr>
        <w:t>个国家和地区的</w:t>
      </w:r>
      <w:r>
        <w:rPr>
          <w:rFonts w:hint="eastAsia"/>
          <w:b/>
          <w:sz w:val="28"/>
          <w:szCs w:val="28"/>
          <w:lang w:val="en-US" w:eastAsia="zh-CN"/>
        </w:rPr>
        <w:t>11</w:t>
      </w:r>
      <w:r>
        <w:rPr>
          <w:rFonts w:hint="eastAsia"/>
          <w:b/>
          <w:sz w:val="28"/>
          <w:szCs w:val="28"/>
        </w:rPr>
        <w:t>00多家参展商</w:t>
      </w:r>
    </w:p>
    <w:p>
      <w:pPr>
        <w:widowControl/>
        <w:snapToGrid w:val="0"/>
        <w:spacing w:before="100" w:beforeAutospacing="1" w:after="100" w:afterAutospacing="1" w:line="380" w:lineRule="exac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  <w:lang w:val="en-US" w:eastAsia="zh-CN"/>
        </w:rPr>
        <w:t>600</w:t>
      </w:r>
      <w:r>
        <w:rPr>
          <w:rFonts w:hint="eastAsia"/>
          <w:b/>
          <w:sz w:val="28"/>
          <w:szCs w:val="28"/>
        </w:rPr>
        <w:t>0</w:t>
      </w:r>
      <w:r>
        <w:rPr>
          <w:rFonts w:hint="eastAsia"/>
          <w:b/>
          <w:sz w:val="28"/>
          <w:szCs w:val="28"/>
          <w:lang w:val="en-US" w:eastAsia="zh-CN"/>
        </w:rPr>
        <w:t>0</w:t>
      </w:r>
      <w:r>
        <w:rPr>
          <w:rFonts w:hint="eastAsia"/>
          <w:b/>
          <w:sz w:val="28"/>
          <w:szCs w:val="28"/>
        </w:rPr>
        <w:t>平米展出面积、</w:t>
      </w:r>
      <w:r>
        <w:rPr>
          <w:rFonts w:hint="eastAsia"/>
          <w:b/>
          <w:sz w:val="28"/>
          <w:szCs w:val="28"/>
          <w:lang w:val="en-US" w:eastAsia="zh-CN"/>
        </w:rPr>
        <w:t>1000</w:t>
      </w:r>
      <w:r>
        <w:rPr>
          <w:rFonts w:hint="eastAsia"/>
          <w:b/>
          <w:sz w:val="28"/>
          <w:szCs w:val="28"/>
        </w:rPr>
        <w:t>00名</w:t>
      </w:r>
      <w:r>
        <w:rPr>
          <w:rFonts w:hint="eastAsia"/>
          <w:b/>
          <w:sz w:val="28"/>
          <w:szCs w:val="28"/>
          <w:lang w:eastAsia="zh-CN"/>
        </w:rPr>
        <w:t>到场</w:t>
      </w:r>
      <w:r>
        <w:rPr>
          <w:rFonts w:hint="eastAsia"/>
          <w:b/>
          <w:sz w:val="28"/>
          <w:szCs w:val="28"/>
        </w:rPr>
        <w:t>观众</w:t>
      </w:r>
    </w:p>
    <w:p>
      <w:pPr>
        <w:widowControl/>
        <w:snapToGrid w:val="0"/>
        <w:spacing w:before="100" w:beforeAutospacing="1" w:after="100" w:afterAutospacing="1" w:line="380" w:lineRule="exac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打造中国乃至亚洲</w:t>
      </w:r>
      <w:r>
        <w:rPr>
          <w:rFonts w:hint="eastAsia"/>
          <w:b/>
          <w:sz w:val="28"/>
          <w:szCs w:val="28"/>
          <w:lang w:eastAsia="zh-CN"/>
        </w:rPr>
        <w:t>较</w:t>
      </w:r>
      <w:r>
        <w:rPr>
          <w:rFonts w:hint="eastAsia"/>
          <w:b/>
          <w:sz w:val="28"/>
          <w:szCs w:val="28"/>
        </w:rPr>
        <w:t>具影响力的</w:t>
      </w:r>
      <w:r>
        <w:rPr>
          <w:rFonts w:hint="eastAsia"/>
          <w:b/>
          <w:sz w:val="28"/>
          <w:szCs w:val="28"/>
          <w:lang w:eastAsia="zh-CN"/>
        </w:rPr>
        <w:t>餐饮食材供应链行业展</w:t>
      </w:r>
    </w:p>
    <w:p>
      <w:pPr>
        <w:widowControl/>
        <w:snapToGrid w:val="0"/>
        <w:spacing w:before="100" w:beforeAutospacing="1" w:after="100" w:afterAutospacing="1" w:line="380" w:lineRule="exact"/>
        <w:rPr>
          <w:rFonts w:hint="eastAsia"/>
          <w:b/>
          <w:sz w:val="28"/>
          <w:szCs w:val="28"/>
        </w:rPr>
      </w:pPr>
      <w:r>
        <w:rPr>
          <w:rFonts w:hint="eastAsia"/>
          <w:b/>
          <w:sz w:val="28"/>
          <w:szCs w:val="28"/>
          <w:lang w:eastAsia="zh-CN"/>
        </w:rPr>
        <w:t>立足南京、辐射长三角、业内点赞、上</w:t>
      </w:r>
      <w:r>
        <w:rPr>
          <w:rFonts w:hint="eastAsia"/>
          <w:b/>
          <w:sz w:val="28"/>
          <w:szCs w:val="28"/>
          <w:lang w:val="en-US" w:eastAsia="zh-CN"/>
        </w:rPr>
        <w:t>千家名企展商</w:t>
      </w:r>
      <w:r>
        <w:rPr>
          <w:rFonts w:hint="eastAsia"/>
          <w:b/>
          <w:sz w:val="28"/>
          <w:szCs w:val="28"/>
          <w:lang w:eastAsia="zh-CN"/>
        </w:rPr>
        <w:t>齐聚盛会</w:t>
      </w:r>
    </w:p>
    <w:p>
      <w:pPr>
        <w:widowControl/>
        <w:snapToGrid w:val="0"/>
        <w:spacing w:before="100" w:beforeAutospacing="1" w:after="100" w:afterAutospacing="1" w:line="420" w:lineRule="exact"/>
        <w:jc w:val="center"/>
        <w:rPr>
          <w:rFonts w:hint="eastAsia" w:ascii="黑体" w:hAnsi="宋体" w:eastAsia="黑体" w:cs="Tahoma"/>
          <w:b/>
          <w:sz w:val="28"/>
          <w:szCs w:val="28"/>
        </w:rPr>
      </w:pPr>
      <w:r>
        <w:rPr>
          <w:rFonts w:hint="eastAsia" w:ascii="黑体" w:eastAsia="黑体" w:cs="Arial"/>
          <w:b/>
          <w:color w:val="000000"/>
          <w:sz w:val="24"/>
          <w:lang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342900</wp:posOffset>
                </wp:positionV>
                <wp:extent cx="6515100" cy="0"/>
                <wp:effectExtent l="0" t="23495" r="7620" b="37465"/>
                <wp:wrapNone/>
                <wp:docPr id="1" name="直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15100" cy="0"/>
                        </a:xfrm>
                        <a:prstGeom prst="line">
                          <a:avLst/>
                        </a:prstGeom>
                        <a:ln w="47625" cap="flat" cmpd="thinThick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3" o:spid="_x0000_s1026" o:spt="20" style="position:absolute;left:0pt;margin-left:-9pt;margin-top:27pt;height:0pt;width:513pt;z-index:251659264;mso-width-relative:page;mso-height-relative:page;" filled="f" stroked="t" coordsize="21600,21600" o:gfxdata="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">
                <v:fill on="f" focussize="0,0"/>
                <v:stroke weight="3.75pt" color="#000000" linestyle="thinThick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黑体" w:eastAsia="黑体"/>
          <w:b/>
          <w:sz w:val="28"/>
          <w:szCs w:val="28"/>
        </w:rPr>
        <w:t>主题：  安全    健康    营养   绿色</w:t>
      </w:r>
    </w:p>
    <w:p>
      <w:pPr>
        <w:spacing w:line="380" w:lineRule="exact"/>
        <w:rPr>
          <w:rFonts w:hint="eastAsia" w:ascii="宋体" w:hAnsi="宋体" w:cs="Tahoma"/>
          <w:sz w:val="24"/>
        </w:rPr>
      </w:pPr>
      <w:r>
        <w:rPr>
          <w:rFonts w:hint="eastAsia" w:ascii="宋体" w:hAnsi="宋体" w:cs="Tahoma"/>
          <w:sz w:val="24"/>
          <w:lang w:eastAsia="zh-CN"/>
        </w:rPr>
        <w:t>指导</w:t>
      </w:r>
      <w:r>
        <w:rPr>
          <w:rFonts w:hint="eastAsia" w:ascii="宋体" w:hAnsi="宋体" w:cs="Tahoma"/>
          <w:sz w:val="24"/>
        </w:rPr>
        <w:t>单位：</w:t>
      </w:r>
      <w:r>
        <w:rPr>
          <w:rFonts w:hint="eastAsia" w:ascii="宋体" w:hAnsi="宋体" w:cs="Tahoma"/>
          <w:sz w:val="24"/>
          <w:lang w:val="en-US" w:eastAsia="zh-CN"/>
        </w:rPr>
        <w:t xml:space="preserve"> </w:t>
      </w:r>
      <w:r>
        <w:rPr>
          <w:rFonts w:hint="eastAsia" w:ascii="宋体" w:hAnsi="宋体" w:eastAsia="宋体" w:cs="宋体"/>
          <w:spacing w:val="20"/>
          <w:sz w:val="24"/>
          <w:szCs w:val="24"/>
        </w:rPr>
        <w:t>中国</w:t>
      </w:r>
      <w:r>
        <w:rPr>
          <w:rFonts w:hint="eastAsia" w:ascii="宋体" w:hAnsi="宋体" w:eastAsia="宋体" w:cs="宋体"/>
          <w:spacing w:val="20"/>
          <w:sz w:val="24"/>
          <w:szCs w:val="24"/>
          <w:lang w:eastAsia="zh-CN"/>
        </w:rPr>
        <w:t>农业产业化龙头</w:t>
      </w:r>
      <w:r>
        <w:rPr>
          <w:rFonts w:hint="eastAsia" w:ascii="宋体" w:hAnsi="宋体" w:eastAsia="宋体" w:cs="宋体"/>
          <w:spacing w:val="20"/>
          <w:sz w:val="24"/>
          <w:szCs w:val="24"/>
        </w:rPr>
        <w:t>企业协会</w:t>
      </w:r>
    </w:p>
    <w:p>
      <w:pPr>
        <w:spacing w:line="400" w:lineRule="exact"/>
        <w:ind w:firstLine="1400" w:firstLineChars="500"/>
        <w:rPr>
          <w:rFonts w:hint="eastAsia" w:ascii="宋体" w:hAnsi="宋体" w:eastAsia="宋体" w:cs="宋体"/>
          <w:spacing w:val="2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pacing w:val="20"/>
          <w:sz w:val="24"/>
          <w:szCs w:val="24"/>
          <w:lang w:eastAsia="zh-CN"/>
        </w:rPr>
        <w:t>中国粮油学会食品分会</w:t>
      </w:r>
      <w:r>
        <w:rPr>
          <w:rFonts w:hint="eastAsia" w:ascii="宋体" w:hAnsi="宋体" w:eastAsia="宋体" w:cs="宋体"/>
          <w:spacing w:val="20"/>
          <w:sz w:val="24"/>
          <w:szCs w:val="24"/>
          <w:lang w:val="en-US" w:eastAsia="zh-CN"/>
        </w:rPr>
        <w:t xml:space="preserve">  </w:t>
      </w:r>
      <w:r>
        <w:rPr>
          <w:rFonts w:hint="eastAsia" w:ascii="宋体" w:hAnsi="宋体" w:eastAsia="宋体" w:cs="宋体"/>
          <w:spacing w:val="20"/>
          <w:sz w:val="24"/>
          <w:szCs w:val="24"/>
          <w:lang w:eastAsia="zh-CN"/>
        </w:rPr>
        <w:t>中国粮油学会油脂分会</w:t>
      </w:r>
    </w:p>
    <w:p>
      <w:pPr>
        <w:spacing w:line="400" w:lineRule="exact"/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/>
          <w:spacing w:val="20"/>
          <w:sz w:val="24"/>
          <w:szCs w:val="24"/>
        </w:rPr>
        <w:t>协办单位：</w:t>
      </w:r>
      <w:r>
        <w:rPr>
          <w:rFonts w:hint="eastAsia" w:ascii="宋体" w:hAnsi="宋体" w:eastAsia="宋体" w:cs="宋体"/>
          <w:spacing w:val="20"/>
          <w:sz w:val="24"/>
          <w:szCs w:val="24"/>
        </w:rPr>
        <w:t>中国农业产业化龙头企业协会油莎豆专业委员会、中国食品和包装机械工业协会文冠果专业委员会、黑龙江省粮食行业协会、江苏省粮食行业协会、江苏省粮油学会、天津市粮油学会、上海市粮食行业协会、河南省粮食行业协会、浙江省粮食行业协会、江西省粮食行业协会、福建省粮食行业协会、湖南省粮食行业协会、湖北省粮食行业协会、陕西省粮食行业协会、吉林省粮食行业协会、新疆省粮食行业协会、中国农机院油脂所、国家杂粮中心、内蒙古调味品协会</w:t>
      </w:r>
      <w:r>
        <w:rPr>
          <w:rFonts w:hint="eastAsia" w:ascii="宋体" w:hAnsi="宋体" w:eastAsia="宋体" w:cs="宋体"/>
          <w:spacing w:val="20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Cs/>
          <w:sz w:val="24"/>
          <w:szCs w:val="24"/>
        </w:rPr>
        <w:t>福建老字号协会</w:t>
      </w:r>
      <w:r>
        <w:rPr>
          <w:rFonts w:hint="eastAsia" w:ascii="宋体" w:hAnsi="宋体" w:eastAsia="宋体" w:cs="宋体"/>
          <w:bCs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Cs/>
          <w:color w:val="000000"/>
          <w:sz w:val="24"/>
          <w:szCs w:val="24"/>
        </w:rPr>
        <w:t>黑龙江绿色食品协会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Cs/>
          <w:color w:val="000000"/>
          <w:sz w:val="24"/>
          <w:szCs w:val="24"/>
        </w:rPr>
        <w:t>澳大利亚国际商会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Cs/>
          <w:color w:val="000000"/>
          <w:sz w:val="24"/>
          <w:szCs w:val="24"/>
        </w:rPr>
        <w:t>新疆克拉玛依食品协会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、</w:t>
      </w:r>
      <w:r>
        <w:rPr>
          <w:rFonts w:hint="eastAsia" w:ascii="宋体" w:hAnsi="宋体" w:eastAsia="宋体" w:cs="宋体"/>
          <w:bCs/>
          <w:color w:val="000000"/>
          <w:sz w:val="24"/>
          <w:szCs w:val="24"/>
        </w:rPr>
        <w:t>台湾优良厂商协会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、韩国贸易协会。</w:t>
      </w:r>
    </w:p>
    <w:p>
      <w:pPr>
        <w:spacing w:line="400" w:lineRule="exact"/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 w:val="0"/>
          <w:color w:val="000000"/>
          <w:sz w:val="24"/>
          <w:szCs w:val="24"/>
          <w:lang w:eastAsia="zh-CN"/>
        </w:rPr>
        <w:t>参与招商：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永红展业集团、北京正阳国际展览有限公司、永丰数字科技有限公司、中国粮油学会油脂分会、中国粮油学会食品分会、中国农业产业化龙头企业协会油料产业分会、稻米油产业创新战略联盟、中国经济林协会牡丹产业分会、内蒙古农副产品输出协会。</w:t>
      </w:r>
    </w:p>
    <w:p>
      <w:pPr>
        <w:spacing w:line="400" w:lineRule="exact"/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 w:val="0"/>
          <w:color w:val="000000"/>
          <w:sz w:val="24"/>
          <w:szCs w:val="24"/>
          <w:lang w:eastAsia="zh-CN"/>
        </w:rPr>
        <w:t>支持单位：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国家亚麻籽油产业技术创新战略联盟、国家核桃油产业战略创新联盟、国家稻米油产业技术创新战略联盟、中国油脂网、油脂科技网、中国粮油发展网。</w:t>
      </w:r>
    </w:p>
    <w:p>
      <w:pPr>
        <w:spacing w:line="400" w:lineRule="exact"/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b/>
          <w:bCs w:val="0"/>
          <w:color w:val="000000"/>
          <w:sz w:val="24"/>
          <w:szCs w:val="24"/>
          <w:lang w:eastAsia="zh-CN"/>
        </w:rPr>
        <w:t>国际合作：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俄罗斯大使馆经济商务处、俄罗斯东西伯利亚贸易商会、哈萨克驻华使馆农业处、西班牙大使馆经济商务处、国际橄榄油理事会、意大利进出口贸易商会、澳大利亚进出口商会贸易委员会、俄罗斯中国总商会、韩国展览业协会、中国美国商会、欧盟商会、泰国商会、马来西亚商会、乌克兰大使馆农业部。</w:t>
      </w:r>
    </w:p>
    <w:p>
      <w:pPr>
        <w:spacing w:line="400" w:lineRule="exact"/>
        <w:rPr>
          <w:rFonts w:hint="eastAsia" w:ascii="宋体" w:hAnsi="宋体" w:eastAsia="宋体" w:cs="宋体"/>
          <w:bCs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b/>
          <w:bCs w:val="0"/>
          <w:color w:val="000000"/>
          <w:sz w:val="24"/>
          <w:szCs w:val="24"/>
          <w:lang w:eastAsia="zh-CN"/>
        </w:rPr>
        <w:t>合作媒体：</w:t>
      </w:r>
      <w:r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  <w:t>粮油市场报、南京地铁传媒、《中国油脂》、《粮油食品科技》、优酷、腾讯、爱奇艺、搜狐、网易、凤凰、乐视、56视频、土豆网、中国网、中华冷冻食品网、大食品、食品商贸网、食品伙伴网、中国食品网 、新华卫视网视频、今日头条视频、北京时间、一点资讯视频、百家视频、环球网视频、百度视频、京广视迅、千龙网视频、中外在线新闻网等。</w:t>
      </w:r>
      <w:r>
        <w:rPr>
          <w:rFonts w:hint="eastAsia" w:ascii="宋体" w:hAnsi="宋体" w:eastAsia="宋体" w:cs="宋体"/>
          <w:b/>
          <w:bCs/>
          <w:spacing w:val="20"/>
          <w:sz w:val="24"/>
          <w:szCs w:val="24"/>
        </w:rPr>
        <w:t>组织</w:t>
      </w:r>
      <w:r>
        <w:rPr>
          <w:rFonts w:hint="eastAsia" w:ascii="宋体" w:hAnsi="宋体" w:eastAsia="宋体" w:cs="宋体"/>
          <w:b/>
          <w:bCs/>
          <w:spacing w:val="20"/>
          <w:sz w:val="24"/>
          <w:szCs w:val="24"/>
          <w:lang w:eastAsia="zh-CN"/>
        </w:rPr>
        <w:t>承办执行</w:t>
      </w:r>
      <w:r>
        <w:rPr>
          <w:rFonts w:hint="eastAsia" w:ascii="宋体" w:hAnsi="宋体" w:eastAsia="宋体" w:cs="宋体"/>
          <w:b/>
          <w:bCs/>
          <w:spacing w:val="20"/>
          <w:sz w:val="24"/>
          <w:szCs w:val="24"/>
        </w:rPr>
        <w:t>单位：</w:t>
      </w:r>
      <w:r>
        <w:rPr>
          <w:rFonts w:hint="eastAsia" w:ascii="宋体" w:hAnsi="宋体" w:eastAsia="宋体" w:cs="宋体"/>
          <w:spacing w:val="20"/>
          <w:sz w:val="24"/>
          <w:szCs w:val="24"/>
        </w:rPr>
        <w:t>北京</w:t>
      </w:r>
      <w:r>
        <w:rPr>
          <w:rFonts w:hint="eastAsia" w:ascii="宋体" w:hAnsi="宋体" w:eastAsia="宋体" w:cs="宋体"/>
          <w:spacing w:val="20"/>
          <w:sz w:val="24"/>
          <w:szCs w:val="24"/>
          <w:lang w:eastAsia="zh-CN"/>
        </w:rPr>
        <w:t>正阳</w:t>
      </w:r>
      <w:r>
        <w:rPr>
          <w:rFonts w:hint="eastAsia" w:ascii="宋体" w:hAnsi="宋体" w:eastAsia="宋体" w:cs="宋体"/>
          <w:spacing w:val="20"/>
          <w:sz w:val="24"/>
          <w:szCs w:val="24"/>
        </w:rPr>
        <w:t>国际展览有限公司</w:t>
      </w:r>
    </w:p>
    <w:p>
      <w:pPr>
        <w:spacing w:line="400" w:lineRule="exact"/>
        <w:rPr>
          <w:rFonts w:hint="eastAsia" w:ascii="宋体" w:hAnsi="宋体" w:eastAsia="宋体" w:cs="宋体"/>
          <w:bCs/>
          <w:color w:val="000000"/>
          <w:sz w:val="24"/>
          <w:szCs w:val="24"/>
          <w:lang w:eastAsia="zh-CN"/>
        </w:rPr>
      </w:pPr>
      <w:r>
        <w:rPr>
          <w:rFonts w:hint="eastAsia" w:ascii="黑体" w:hAnsi="宋体" w:eastAsia="黑体"/>
          <w:sz w:val="28"/>
          <w:szCs w:val="28"/>
        </w:rPr>
        <w:t>中国最权威的</w:t>
      </w:r>
      <w:r>
        <w:rPr>
          <w:rFonts w:hint="eastAsia" w:ascii="黑体" w:hAnsi="宋体" w:eastAsia="黑体"/>
          <w:sz w:val="28"/>
          <w:szCs w:val="28"/>
          <w:lang w:eastAsia="zh-CN"/>
        </w:rPr>
        <w:t>餐饮食材供应链展示交流</w:t>
      </w:r>
      <w:r>
        <w:rPr>
          <w:rFonts w:hint="eastAsia" w:ascii="黑体" w:hAnsi="宋体" w:eastAsia="黑体"/>
          <w:sz w:val="28"/>
          <w:szCs w:val="28"/>
        </w:rPr>
        <w:t>和公众品牌建设的专业平台！</w:t>
      </w:r>
    </w:p>
    <w:p>
      <w:pPr>
        <w:tabs>
          <w:tab w:val="left" w:pos="2160"/>
        </w:tabs>
        <w:spacing w:line="420" w:lineRule="exact"/>
        <w:rPr>
          <w:rFonts w:hint="eastAsia" w:ascii="Arial" w:hAnsi="宋体" w:cs="Arial"/>
          <w:b/>
          <w:bCs/>
          <w:sz w:val="24"/>
        </w:rPr>
      </w:pPr>
      <w:r>
        <w:rPr>
          <w:rFonts w:hint="eastAsia" w:ascii="Arial" w:hAnsi="宋体" w:cs="Arial"/>
          <w:b/>
          <w:bCs/>
          <w:sz w:val="24"/>
          <w:lang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215900</wp:posOffset>
                </wp:positionV>
                <wp:extent cx="6134100" cy="0"/>
                <wp:effectExtent l="0" t="7620" r="7620" b="15240"/>
                <wp:wrapSquare wrapText="bothSides"/>
                <wp:docPr id="2" name="直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4" o:spid="_x0000_s1026" o:spt="20" style="position:absolute;left:0pt;flip:y;margin-left:0pt;margin-top:17pt;height:0pt;width:483pt;mso-wrap-distance-bottom:0pt;mso-wrap-distance-left:9pt;mso-wrap-distance-right:9pt;mso-wrap-distance-top:0pt;z-index:251660288;mso-width-relative:page;mso-height-relative:page;" filled="f" stroked="t" coordsize="21600,21600" o:gfxdata="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OiT&#10;pIbTAAAABgEAAA8AAAAAAAAAAQAgAAAAIgAAAGRycy9kb3ducmV2LnhtbFBLAQIUABQAAAAIAIdO&#10;4kBi7d8N7wEAAOYDAAAOAAAAAAAAAAEAIAAAACIBAABkcnMvZTJvRG9jLnhtbFBLBQYAAAAABgAG&#10;AFkBAACDBQAAAAA=&#10;">
                <v:fill on="f" focussize="0,0"/>
                <v:stroke weight="1.25pt" color="#000000" joinstyle="round"/>
                <v:imagedata o:title=""/>
                <o:lock v:ext="edit" aspectratio="f"/>
                <w10:wrap type="square"/>
              </v:line>
            </w:pict>
          </mc:Fallback>
        </mc:AlternateContent>
      </w:r>
      <w:r>
        <w:rPr>
          <w:rFonts w:hint="eastAsia" w:ascii="Arial" w:hAnsi="宋体" w:cs="Arial"/>
          <w:b/>
          <w:bCs/>
          <w:sz w:val="24"/>
        </w:rPr>
        <w:t>【 序言 】</w:t>
      </w:r>
    </w:p>
    <w:p>
      <w:pPr>
        <w:tabs>
          <w:tab w:val="left" w:pos="2160"/>
        </w:tabs>
        <w:spacing w:line="400" w:lineRule="exact"/>
        <w:ind w:firstLine="470" w:firstLineChars="196"/>
        <w:rPr>
          <w:rFonts w:hint="eastAsia" w:ascii="宋体" w:hAnsi="宋体" w:cs="Arial"/>
          <w:bCs/>
          <w:sz w:val="24"/>
        </w:rPr>
      </w:pPr>
      <w:r>
        <w:rPr>
          <w:rFonts w:hint="eastAsia" w:ascii="宋体" w:hAnsi="宋体" w:cs="Arial"/>
          <w:bCs/>
          <w:sz w:val="24"/>
          <w:lang w:val="en-US" w:eastAsia="zh-CN"/>
        </w:rPr>
        <w:t>INIE</w:t>
      </w:r>
      <w:r>
        <w:rPr>
          <w:rFonts w:hint="eastAsia" w:ascii="宋体" w:hAnsi="宋体" w:cs="Arial"/>
          <w:bCs/>
          <w:sz w:val="24"/>
        </w:rPr>
        <w:t>于每年</w:t>
      </w:r>
      <w:r>
        <w:rPr>
          <w:rFonts w:hint="eastAsia" w:ascii="宋体" w:hAnsi="宋体" w:cs="Arial"/>
          <w:bCs/>
          <w:sz w:val="24"/>
          <w:lang w:eastAsia="zh-CN"/>
        </w:rPr>
        <w:t>春秋</w:t>
      </w:r>
      <w:r>
        <w:rPr>
          <w:rFonts w:hint="eastAsia" w:ascii="宋体" w:hAnsi="宋体" w:cs="Arial"/>
          <w:bCs/>
          <w:sz w:val="24"/>
        </w:rPr>
        <w:t>定期在</w:t>
      </w:r>
      <w:r>
        <w:rPr>
          <w:rFonts w:hint="eastAsia" w:ascii="宋体" w:hAnsi="宋体" w:cs="Arial"/>
          <w:bCs/>
          <w:sz w:val="24"/>
          <w:lang w:eastAsia="zh-CN"/>
        </w:rPr>
        <w:t>北京和南</w:t>
      </w:r>
      <w:r>
        <w:rPr>
          <w:rFonts w:hint="eastAsia" w:ascii="宋体" w:hAnsi="宋体" w:cs="Arial"/>
          <w:bCs/>
          <w:sz w:val="24"/>
        </w:rPr>
        <w:t>京隆重举办，将成为全球</w:t>
      </w:r>
      <w:r>
        <w:rPr>
          <w:rFonts w:hint="eastAsia" w:ascii="宋体" w:hAnsi="宋体" w:cs="Arial"/>
          <w:bCs/>
          <w:sz w:val="24"/>
          <w:lang w:eastAsia="zh-CN"/>
        </w:rPr>
        <w:t>餐饮食材</w:t>
      </w:r>
      <w:r>
        <w:rPr>
          <w:rFonts w:hint="eastAsia" w:ascii="宋体" w:hAnsi="宋体" w:cs="Arial"/>
          <w:bCs/>
          <w:sz w:val="24"/>
        </w:rPr>
        <w:t>行业最大的品牌贸易盛会，成为中国规模</w:t>
      </w:r>
      <w:r>
        <w:rPr>
          <w:rFonts w:hint="eastAsia" w:ascii="宋体" w:hAnsi="宋体" w:cs="Arial"/>
          <w:bCs/>
          <w:sz w:val="24"/>
          <w:lang w:eastAsia="zh-CN"/>
        </w:rPr>
        <w:t>较</w:t>
      </w:r>
      <w:r>
        <w:rPr>
          <w:rFonts w:hint="eastAsia" w:ascii="宋体" w:hAnsi="宋体" w:cs="Arial"/>
          <w:bCs/>
          <w:sz w:val="24"/>
        </w:rPr>
        <w:t>大、层次</w:t>
      </w:r>
      <w:r>
        <w:rPr>
          <w:rFonts w:hint="eastAsia" w:ascii="宋体" w:hAnsi="宋体" w:cs="Arial"/>
          <w:bCs/>
          <w:sz w:val="24"/>
          <w:lang w:eastAsia="zh-CN"/>
        </w:rPr>
        <w:t>较</w:t>
      </w:r>
      <w:r>
        <w:rPr>
          <w:rFonts w:hint="eastAsia" w:ascii="宋体" w:hAnsi="宋体" w:cs="Arial"/>
          <w:bCs/>
          <w:sz w:val="24"/>
        </w:rPr>
        <w:t>高、效益</w:t>
      </w:r>
      <w:r>
        <w:rPr>
          <w:rFonts w:hint="eastAsia" w:ascii="宋体" w:hAnsi="宋体" w:cs="Arial"/>
          <w:bCs/>
          <w:sz w:val="24"/>
          <w:lang w:eastAsia="zh-CN"/>
        </w:rPr>
        <w:t>较</w:t>
      </w:r>
      <w:r>
        <w:rPr>
          <w:rFonts w:hint="eastAsia" w:ascii="宋体" w:hAnsi="宋体" w:cs="Arial"/>
          <w:bCs/>
          <w:sz w:val="24"/>
        </w:rPr>
        <w:t>好的国际</w:t>
      </w:r>
      <w:r>
        <w:rPr>
          <w:rFonts w:hint="eastAsia" w:ascii="宋体" w:hAnsi="宋体" w:cs="Arial"/>
          <w:bCs/>
          <w:sz w:val="24"/>
          <w:lang w:eastAsia="zh-CN"/>
        </w:rPr>
        <w:t>餐饮食材供应链行业</w:t>
      </w:r>
      <w:r>
        <w:rPr>
          <w:rFonts w:hint="eastAsia" w:ascii="宋体" w:hAnsi="宋体" w:cs="Arial"/>
          <w:bCs/>
          <w:sz w:val="24"/>
        </w:rPr>
        <w:t>展。上届展会吸引了美国、瑞典、俄罗斯、乌克兰、日本、韩国、新加坡、澳大利亚、荷兰、法国、瑞士、泰国、马来西亚、中国台湾展团、香港展团等国际国内商家共将近</w:t>
      </w:r>
      <w:r>
        <w:rPr>
          <w:rFonts w:hint="eastAsia" w:ascii="宋体" w:hAnsi="宋体" w:cs="Arial"/>
          <w:bCs/>
          <w:sz w:val="24"/>
          <w:lang w:val="en-US" w:eastAsia="zh-CN"/>
        </w:rPr>
        <w:t>110</w:t>
      </w:r>
      <w:r>
        <w:rPr>
          <w:rFonts w:hint="eastAsia" w:ascii="宋体" w:hAnsi="宋体" w:cs="Arial"/>
          <w:bCs/>
          <w:sz w:val="24"/>
        </w:rPr>
        <w:t>0多家企业参展，展出面积达到</w:t>
      </w:r>
      <w:r>
        <w:rPr>
          <w:rFonts w:hint="eastAsia" w:ascii="宋体" w:hAnsi="宋体" w:cs="Arial"/>
          <w:bCs/>
          <w:sz w:val="24"/>
          <w:lang w:val="en-US" w:eastAsia="zh-CN"/>
        </w:rPr>
        <w:t>60</w:t>
      </w:r>
      <w:r>
        <w:rPr>
          <w:rFonts w:hint="eastAsia" w:ascii="宋体" w:hAnsi="宋体" w:cs="Arial"/>
          <w:bCs/>
          <w:sz w:val="24"/>
        </w:rPr>
        <w:t>000平方米，</w:t>
      </w:r>
      <w:r>
        <w:rPr>
          <w:rFonts w:hint="eastAsia" w:ascii="宋体" w:hAnsi="宋体" w:cs="Arial"/>
          <w:bCs/>
          <w:sz w:val="24"/>
          <w:lang w:eastAsia="zh-CN"/>
        </w:rPr>
        <w:t>参观</w:t>
      </w:r>
      <w:r>
        <w:rPr>
          <w:rFonts w:hint="eastAsia" w:ascii="宋体" w:hAnsi="宋体" w:cs="Arial"/>
          <w:bCs/>
          <w:sz w:val="24"/>
        </w:rPr>
        <w:t>观众达到</w:t>
      </w:r>
      <w:r>
        <w:rPr>
          <w:rFonts w:hint="eastAsia" w:ascii="宋体" w:hAnsi="宋体" w:cs="Arial"/>
          <w:bCs/>
          <w:sz w:val="24"/>
          <w:lang w:val="en-US" w:eastAsia="zh-CN"/>
        </w:rPr>
        <w:t>100</w:t>
      </w:r>
      <w:r>
        <w:rPr>
          <w:rFonts w:hint="eastAsia" w:ascii="宋体" w:hAnsi="宋体" w:cs="Arial"/>
          <w:bCs/>
          <w:sz w:val="24"/>
        </w:rPr>
        <w:t>000 多人次。本次展览会建立覆盖全世界的宣传平台，为参展企业的产品快速进入市场搭建最有效的贸易渠道。聚集各</w:t>
      </w:r>
      <w:r>
        <w:rPr>
          <w:rFonts w:hint="eastAsia" w:ascii="宋体" w:hAnsi="宋体" w:cs="Arial"/>
          <w:bCs/>
          <w:sz w:val="24"/>
          <w:lang w:eastAsia="zh-CN"/>
        </w:rPr>
        <w:t>餐饮食材</w:t>
      </w:r>
      <w:r>
        <w:rPr>
          <w:rFonts w:hint="eastAsia" w:ascii="宋体" w:hAnsi="宋体" w:cs="Arial"/>
          <w:bCs/>
          <w:sz w:val="24"/>
        </w:rPr>
        <w:t>企业在同一平台展示，其一顺应了行业发展趋势</w:t>
      </w:r>
      <w:r>
        <w:rPr>
          <w:rFonts w:hint="eastAsia" w:ascii="宋体" w:hAnsi="宋体" w:cs="Arial"/>
          <w:bCs/>
          <w:sz w:val="24"/>
          <w:lang w:eastAsia="zh-CN"/>
        </w:rPr>
        <w:t>，</w:t>
      </w:r>
      <w:r>
        <w:rPr>
          <w:rFonts w:hint="eastAsia" w:ascii="宋体" w:hAnsi="宋体" w:cs="Arial"/>
          <w:bCs/>
          <w:sz w:val="24"/>
        </w:rPr>
        <w:t>也便于供需双方开展全方位、深层次的贸易洽谈。必将吸引更多采购商、</w:t>
      </w:r>
      <w:r>
        <w:rPr>
          <w:rFonts w:hint="eastAsia" w:ascii="宋体" w:hAnsi="宋体" w:cs="Arial"/>
          <w:bCs/>
          <w:sz w:val="24"/>
          <w:lang w:eastAsia="zh-CN"/>
        </w:rPr>
        <w:t>餐饮公司、各大酒店、</w:t>
      </w:r>
      <w:r>
        <w:rPr>
          <w:rFonts w:hint="eastAsia" w:ascii="宋体" w:hAnsi="宋体" w:cs="Arial"/>
          <w:bCs/>
          <w:sz w:val="24"/>
        </w:rPr>
        <w:t>生产商、经销商、代理商、各大商超、政府采购部门等综合采购群体到会参观，洽谈订货，让</w:t>
      </w:r>
      <w:r>
        <w:rPr>
          <w:rFonts w:hint="eastAsia" w:ascii="宋体" w:hAnsi="宋体" w:cs="Arial"/>
          <w:bCs/>
          <w:sz w:val="24"/>
          <w:lang w:eastAsia="zh-CN"/>
        </w:rPr>
        <w:t>餐饮食材</w:t>
      </w:r>
      <w:r>
        <w:rPr>
          <w:rFonts w:hint="eastAsia" w:ascii="宋体" w:hAnsi="宋体" w:cs="Arial"/>
          <w:bCs/>
          <w:sz w:val="24"/>
        </w:rPr>
        <w:t>企业在一个更为全面、更具竞争力的展示平台内互相借势，相得益彰。让我们共同努力，打造中国高端</w:t>
      </w:r>
      <w:r>
        <w:rPr>
          <w:rFonts w:hint="eastAsia" w:ascii="宋体" w:hAnsi="宋体" w:cs="Arial"/>
          <w:bCs/>
          <w:sz w:val="24"/>
          <w:lang w:eastAsia="zh-CN"/>
        </w:rPr>
        <w:t>餐饮食材</w:t>
      </w:r>
      <w:r>
        <w:rPr>
          <w:rFonts w:hint="eastAsia" w:ascii="宋体" w:hAnsi="宋体" w:cs="Arial"/>
          <w:bCs/>
          <w:sz w:val="24"/>
        </w:rPr>
        <w:t>的国际贸易平台、提升行业优质产品知名度、加强同行业之间交流与合作。</w:t>
      </w:r>
    </w:p>
    <w:p>
      <w:pPr>
        <w:spacing w:line="320" w:lineRule="exact"/>
        <w:ind w:left="361" w:hanging="361" w:hangingChars="150"/>
        <w:rPr>
          <w:rFonts w:hint="eastAsia" w:ascii="宋体" w:hAnsi="宋体"/>
          <w:sz w:val="24"/>
        </w:rPr>
      </w:pPr>
      <w:r>
        <w:rPr>
          <w:rFonts w:hint="eastAsia" w:ascii="宋体" w:hAnsi="宋体" w:cs="Arial"/>
          <w:b/>
          <w:bCs/>
          <w:sz w:val="24"/>
          <w:lang w:val="en-US" w:eastAsia="zh-CN"/>
        </w:rPr>
        <w:t>I</w:t>
      </w:r>
      <w:r>
        <w:rPr>
          <w:rFonts w:hint="eastAsia" w:ascii="宋体" w:hAnsi="宋体" w:cs="Arial"/>
          <w:b/>
          <w:bCs/>
          <w:sz w:val="24"/>
          <w:lang w:val="en-US" w:eastAsia="zh-CN"/>
        </w:rPr>
        <w:t>NIE</w:t>
      </w:r>
      <w:r>
        <w:rPr>
          <w:rFonts w:hint="eastAsia" w:ascii="宋体" w:hAnsi="宋体"/>
          <w:b/>
          <w:color w:val="333333"/>
          <w:sz w:val="24"/>
        </w:rPr>
        <w:t>参展理由</w:t>
      </w:r>
    </w:p>
    <w:p>
      <w:pPr>
        <w:spacing w:line="320" w:lineRule="exact"/>
        <w:ind w:left="360" w:hanging="360" w:hangingChars="150"/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1、</w:t>
      </w:r>
      <w:r>
        <w:rPr>
          <w:rFonts w:hint="eastAsia" w:ascii="宋体" w:hAnsi="宋体"/>
          <w:color w:val="000000"/>
          <w:sz w:val="24"/>
        </w:rPr>
        <w:t>品牌吸引力-在同行和客户间展示形象、提升行业地位、品牌价值度、知名度、荣誉度</w:t>
      </w:r>
      <w:r>
        <w:rPr>
          <w:rFonts w:hint="eastAsia" w:ascii="宋体" w:hAnsi="宋体"/>
          <w:color w:val="000000"/>
          <w:sz w:val="24"/>
          <w:lang w:eastAsia="zh-CN"/>
        </w:rPr>
        <w:t>；</w:t>
      </w:r>
    </w:p>
    <w:p>
      <w:pPr>
        <w:spacing w:line="320" w:lineRule="exact"/>
        <w:ind w:left="361" w:hanging="361" w:hangingChars="150"/>
        <w:rPr>
          <w:rFonts w:hint="eastAsia" w:ascii="宋体" w:hAnsi="宋体" w:eastAsia="宋体"/>
          <w:b/>
          <w:color w:val="000000"/>
          <w:sz w:val="24"/>
          <w:lang w:eastAsia="zh-CN"/>
        </w:rPr>
      </w:pPr>
      <w:r>
        <w:rPr>
          <w:rFonts w:hint="eastAsia" w:ascii="宋体" w:hAnsi="宋体"/>
          <w:b/>
          <w:sz w:val="24"/>
        </w:rPr>
        <w:t>2</w:t>
      </w:r>
      <w:r>
        <w:rPr>
          <w:rFonts w:hint="eastAsia" w:ascii="宋体" w:hAnsi="宋体"/>
          <w:sz w:val="24"/>
        </w:rPr>
        <w:t>、</w:t>
      </w:r>
      <w:r>
        <w:rPr>
          <w:rFonts w:hint="eastAsia" w:ascii="宋体" w:hAnsi="宋体"/>
          <w:color w:val="000000"/>
          <w:sz w:val="24"/>
        </w:rPr>
        <w:t>市场策略-了解市场信息、拓展销售渠道、获取市场订单、维护销售网络</w:t>
      </w:r>
      <w:r>
        <w:rPr>
          <w:rFonts w:hint="eastAsia" w:ascii="宋体" w:hAnsi="宋体"/>
          <w:color w:val="000000"/>
          <w:sz w:val="24"/>
          <w:lang w:eastAsia="zh-CN"/>
        </w:rPr>
        <w:t>；</w:t>
      </w:r>
    </w:p>
    <w:p>
      <w:pPr>
        <w:spacing w:line="320" w:lineRule="exact"/>
        <w:ind w:left="360" w:hanging="360" w:hangingChars="150"/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3、建立进口、批发、经销、零售的销售网络</w:t>
      </w:r>
      <w:r>
        <w:rPr>
          <w:rFonts w:hint="eastAsia" w:ascii="宋体" w:hAnsi="宋体"/>
          <w:sz w:val="24"/>
          <w:lang w:eastAsia="zh-CN"/>
        </w:rPr>
        <w:t>；</w:t>
      </w:r>
    </w:p>
    <w:p>
      <w:pPr>
        <w:spacing w:line="320" w:lineRule="exact"/>
        <w:ind w:left="360" w:hanging="360" w:hangingChars="150"/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4、获取产品的Fans-您的产品很可能被近千家专业及大众媒体关注和跟踪宣传，成为产品中的明星</w:t>
      </w:r>
      <w:r>
        <w:rPr>
          <w:rFonts w:hint="eastAsia" w:ascii="宋体" w:hAnsi="宋体"/>
          <w:sz w:val="24"/>
          <w:lang w:eastAsia="zh-CN"/>
        </w:rPr>
        <w:t>；</w:t>
      </w:r>
    </w:p>
    <w:p>
      <w:pPr>
        <w:spacing w:line="320" w:lineRule="exact"/>
        <w:ind w:left="360" w:hanging="360" w:hangingChars="15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5、获取市场订单-获得金钱的同时赢得声誉。</w:t>
      </w:r>
    </w:p>
    <w:p>
      <w:pPr>
        <w:spacing w:line="320" w:lineRule="exact"/>
        <w:rPr>
          <w:rFonts w:hint="eastAsia" w:ascii="宋体" w:hAnsi="宋体"/>
          <w:b/>
          <w:color w:val="000000"/>
          <w:sz w:val="24"/>
        </w:rPr>
      </w:pPr>
      <w:r>
        <w:rPr>
          <w:rFonts w:hint="eastAsia" w:ascii="宋体" w:hAnsi="宋体" w:cs="Arial"/>
          <w:b/>
          <w:bCs/>
          <w:sz w:val="24"/>
          <w:lang w:val="en-US" w:eastAsia="zh-CN"/>
        </w:rPr>
        <w:t>I</w:t>
      </w:r>
      <w:r>
        <w:rPr>
          <w:rFonts w:hint="eastAsia" w:ascii="宋体" w:hAnsi="宋体" w:cs="Arial"/>
          <w:b/>
          <w:bCs/>
          <w:sz w:val="24"/>
          <w:lang w:val="en-US" w:eastAsia="zh-CN"/>
        </w:rPr>
        <w:t>NIE</w:t>
      </w:r>
      <w:r>
        <w:rPr>
          <w:rFonts w:hint="eastAsia" w:ascii="宋体" w:hAnsi="宋体"/>
          <w:b/>
          <w:color w:val="000000"/>
          <w:sz w:val="24"/>
        </w:rPr>
        <w:t>专业观众来源</w:t>
      </w:r>
    </w:p>
    <w:p>
      <w:pPr>
        <w:spacing w:line="340" w:lineRule="atLeast"/>
        <w:rPr>
          <w:rFonts w:hint="eastAsia" w:ascii="宋体" w:hAnsi="宋体"/>
          <w:color w:val="000000"/>
          <w:sz w:val="24"/>
        </w:rPr>
      </w:pPr>
      <w:r>
        <w:rPr>
          <w:rFonts w:hint="eastAsia" w:ascii="宋体" w:hAnsi="宋体"/>
          <w:color w:val="000000"/>
          <w:sz w:val="24"/>
        </w:rPr>
        <w:t>1、连锁餐饮、中餐、西餐、快餐、团餐、高级餐厅、火锅店、酒吧、咖啡馆、茶餐厅、会所酒店管理公司等总经理、行政总厨、采购经理、总厨等；</w:t>
      </w:r>
    </w:p>
    <w:p>
      <w:pPr>
        <w:spacing w:line="340" w:lineRule="atLeast"/>
        <w:rPr>
          <w:rFonts w:hint="eastAsia" w:ascii="宋体" w:hAnsi="宋体" w:eastAsia="宋体"/>
          <w:b/>
          <w:color w:val="000000"/>
          <w:sz w:val="24"/>
          <w:lang w:eastAsia="zh-CN"/>
        </w:rPr>
      </w:pPr>
      <w:r>
        <w:rPr>
          <w:rFonts w:hint="eastAsia" w:ascii="宋体" w:hAnsi="宋体"/>
          <w:color w:val="000000"/>
          <w:sz w:val="24"/>
        </w:rPr>
        <w:t>2、商超、社区O2O生鲜门店、电商平台、供应链平台</w:t>
      </w:r>
      <w:r>
        <w:rPr>
          <w:rFonts w:hint="eastAsia" w:ascii="宋体" w:hAnsi="宋体"/>
          <w:color w:val="000000"/>
          <w:sz w:val="24"/>
          <w:lang w:eastAsia="zh-CN"/>
        </w:rPr>
        <w:t>、</w:t>
      </w:r>
      <w:r>
        <w:rPr>
          <w:rFonts w:hint="eastAsia" w:ascii="宋体" w:hAnsi="宋体"/>
          <w:color w:val="000000"/>
          <w:sz w:val="24"/>
        </w:rPr>
        <w:t>大型超市、食品连锁店和经营专柜、社区连锁超市和便利店、专业市场等</w:t>
      </w:r>
      <w:r>
        <w:rPr>
          <w:rFonts w:hint="eastAsia" w:ascii="宋体" w:hAnsi="宋体"/>
          <w:color w:val="000000"/>
          <w:sz w:val="24"/>
          <w:lang w:eastAsia="zh-CN"/>
        </w:rPr>
        <w:t>；</w:t>
      </w:r>
    </w:p>
    <w:p>
      <w:pPr>
        <w:spacing w:line="340" w:lineRule="atLeast"/>
        <w:ind w:left="360" w:hanging="360" w:hangingChars="150"/>
        <w:rPr>
          <w:rFonts w:hint="eastAsia" w:ascii="宋体" w:hAnsi="宋体" w:eastAsia="宋体"/>
          <w:color w:val="000000"/>
          <w:sz w:val="24"/>
          <w:lang w:eastAsia="zh-CN"/>
        </w:rPr>
      </w:pPr>
      <w:r>
        <w:rPr>
          <w:rFonts w:hint="eastAsia" w:ascii="宋体" w:hAnsi="宋体"/>
          <w:color w:val="000000"/>
          <w:sz w:val="24"/>
        </w:rPr>
        <w:t>3、驻华采购商、进出口贸易公司、130多家国外驻华使馆商务处、国内外各食品生产企业专业机构、食品生产加工基地、企业技术人员及高级管理者等</w:t>
      </w:r>
      <w:r>
        <w:rPr>
          <w:rFonts w:hint="eastAsia" w:ascii="宋体" w:hAnsi="宋体"/>
          <w:color w:val="000000"/>
          <w:sz w:val="24"/>
          <w:lang w:eastAsia="zh-CN"/>
        </w:rPr>
        <w:t>；</w:t>
      </w:r>
    </w:p>
    <w:p>
      <w:pPr>
        <w:spacing w:line="340" w:lineRule="atLeast"/>
        <w:ind w:left="360" w:hanging="360" w:hangingChars="150"/>
        <w:rPr>
          <w:rFonts w:hint="eastAsia" w:ascii="宋体" w:hAnsi="宋体" w:eastAsia="宋体"/>
          <w:color w:val="000000"/>
          <w:sz w:val="24"/>
          <w:lang w:eastAsia="zh-CN"/>
        </w:rPr>
      </w:pPr>
      <w:r>
        <w:rPr>
          <w:rFonts w:hint="eastAsia" w:ascii="宋体" w:hAnsi="宋体"/>
          <w:color w:val="000000"/>
          <w:sz w:val="24"/>
        </w:rPr>
        <w:t>4、酒店、宾馆、酒吧、娱乐场所、西餐厅、各大俱乐部、度假村等重要团购单位等</w:t>
      </w:r>
      <w:r>
        <w:rPr>
          <w:rFonts w:hint="eastAsia" w:ascii="宋体" w:hAnsi="宋体"/>
          <w:color w:val="000000"/>
          <w:sz w:val="24"/>
          <w:lang w:eastAsia="zh-CN"/>
        </w:rPr>
        <w:t>；</w:t>
      </w:r>
    </w:p>
    <w:p>
      <w:pPr>
        <w:spacing w:line="340" w:lineRule="atLeast"/>
        <w:rPr>
          <w:rFonts w:hint="eastAsia" w:ascii="宋体" w:hAnsi="宋体" w:eastAsia="宋体"/>
          <w:color w:val="000000"/>
          <w:sz w:val="24"/>
          <w:lang w:eastAsia="zh-CN"/>
        </w:rPr>
      </w:pPr>
      <w:r>
        <w:rPr>
          <w:rFonts w:hint="eastAsia" w:ascii="宋体" w:hAnsi="宋体"/>
          <w:color w:val="000000"/>
          <w:sz w:val="24"/>
        </w:rPr>
        <w:t>5、行业协会、50多个省市驻</w:t>
      </w:r>
      <w:r>
        <w:rPr>
          <w:rFonts w:hint="eastAsia" w:ascii="宋体" w:hAnsi="宋体"/>
          <w:color w:val="000000"/>
          <w:sz w:val="24"/>
          <w:lang w:eastAsia="zh-CN"/>
        </w:rPr>
        <w:t>中国</w:t>
      </w:r>
      <w:r>
        <w:rPr>
          <w:rFonts w:hint="eastAsia" w:ascii="宋体" w:hAnsi="宋体"/>
          <w:color w:val="000000"/>
          <w:sz w:val="24"/>
        </w:rPr>
        <w:t>办事处、</w:t>
      </w:r>
      <w:r>
        <w:rPr>
          <w:rFonts w:hint="eastAsia" w:ascii="宋体" w:hAnsi="宋体" w:cs="Arial"/>
          <w:bCs/>
          <w:sz w:val="24"/>
        </w:rPr>
        <w:t>政府采购部门等综合采购群体</w:t>
      </w:r>
      <w:r>
        <w:rPr>
          <w:rFonts w:hint="eastAsia" w:ascii="宋体" w:hAnsi="宋体" w:cs="Arial"/>
          <w:bCs/>
          <w:sz w:val="24"/>
          <w:lang w:eastAsia="zh-CN"/>
        </w:rPr>
        <w:t>；</w:t>
      </w:r>
    </w:p>
    <w:p>
      <w:pPr>
        <w:spacing w:line="340" w:lineRule="atLeast"/>
        <w:rPr>
          <w:rFonts w:hint="eastAsia" w:ascii="宋体" w:hAnsi="宋体" w:cs="Arial"/>
          <w:b/>
          <w:bCs/>
          <w:sz w:val="24"/>
          <w:lang w:val="en-US" w:eastAsia="zh-CN"/>
        </w:rPr>
      </w:pPr>
      <w:r>
        <w:rPr>
          <w:rFonts w:hint="eastAsia" w:ascii="宋体" w:hAnsi="宋体"/>
          <w:color w:val="000000"/>
          <w:sz w:val="24"/>
          <w:lang w:val="en-US" w:eastAsia="zh-CN"/>
        </w:rPr>
        <w:t>6、</w:t>
      </w:r>
      <w:r>
        <w:rPr>
          <w:rFonts w:hint="eastAsia" w:ascii="宋体" w:hAnsi="宋体"/>
          <w:color w:val="000000"/>
          <w:sz w:val="24"/>
        </w:rPr>
        <w:t>有实力信誉、有销售网络终端的</w:t>
      </w:r>
      <w:r>
        <w:rPr>
          <w:rFonts w:hint="eastAsia" w:ascii="宋体" w:hAnsi="宋体"/>
          <w:color w:val="000000"/>
          <w:sz w:val="24"/>
          <w:lang w:eastAsia="zh-CN"/>
        </w:rPr>
        <w:t>餐饮公司、酒店、</w:t>
      </w:r>
      <w:r>
        <w:rPr>
          <w:rFonts w:hint="eastAsia" w:ascii="宋体" w:hAnsi="宋体"/>
          <w:color w:val="000000"/>
          <w:sz w:val="24"/>
        </w:rPr>
        <w:t>进口商、独家经销商、代理商、分销商、应用商。</w:t>
      </w:r>
    </w:p>
    <w:p>
      <w:pPr>
        <w:spacing w:line="380" w:lineRule="exact"/>
        <w:ind w:right="-185" w:rightChars="-88"/>
        <w:rPr>
          <w:rFonts w:hint="eastAsia" w:ascii="宋体" w:hAnsi="宋体"/>
          <w:b/>
          <w:color w:val="000000"/>
          <w:sz w:val="24"/>
        </w:rPr>
      </w:pPr>
      <w:r>
        <w:rPr>
          <w:rFonts w:hint="eastAsia" w:ascii="宋体" w:hAnsi="宋体" w:cs="Arial"/>
          <w:b/>
          <w:bCs/>
          <w:sz w:val="24"/>
          <w:lang w:val="en-US" w:eastAsia="zh-CN"/>
        </w:rPr>
        <w:t>I</w:t>
      </w:r>
      <w:r>
        <w:rPr>
          <w:rFonts w:hint="eastAsia" w:ascii="宋体" w:hAnsi="宋体" w:cs="Arial"/>
          <w:b/>
          <w:bCs/>
          <w:sz w:val="24"/>
          <w:lang w:val="en-US" w:eastAsia="zh-CN"/>
        </w:rPr>
        <w:t>NIE</w:t>
      </w:r>
      <w:r>
        <w:rPr>
          <w:rFonts w:hint="eastAsia" w:ascii="宋体" w:hAnsi="宋体"/>
          <w:b/>
          <w:color w:val="000000"/>
          <w:sz w:val="24"/>
        </w:rPr>
        <w:t>参展范围：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预制食材：水产类、肉禽类、面点类、果蔬类；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方便菜肴：餐饮自有品牌方便菜肴、料理包、微波菜肴、调理包等；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方便主食：方便面、方便米粉、方便米线、方便饭、方便粥等；</w:t>
      </w:r>
    </w:p>
    <w:p>
      <w:pPr>
        <w:spacing w:line="380" w:lineRule="exact"/>
        <w:ind w:right="-185" w:rightChars="-88"/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速冻食品：速冻面食、速冻汤圆、速冻手抓饼、速冻丸子、速冻料理等</w:t>
      </w:r>
      <w:r>
        <w:rPr>
          <w:rFonts w:hint="eastAsia" w:ascii="宋体" w:hAnsi="宋体"/>
          <w:sz w:val="24"/>
          <w:lang w:eastAsia="zh-CN"/>
        </w:rPr>
        <w:t>、</w:t>
      </w:r>
      <w:r>
        <w:rPr>
          <w:rFonts w:hint="eastAsia" w:ascii="宋体" w:hAnsi="宋体"/>
          <w:sz w:val="24"/>
        </w:rPr>
        <w:t>自热食品</w:t>
      </w:r>
      <w:r>
        <w:rPr>
          <w:rFonts w:hint="eastAsia" w:ascii="宋体" w:hAnsi="宋体"/>
          <w:sz w:val="24"/>
          <w:lang w:eastAsia="zh-CN"/>
        </w:rPr>
        <w:t>、</w:t>
      </w:r>
      <w:r>
        <w:rPr>
          <w:rFonts w:hint="eastAsia" w:ascii="宋体" w:hAnsi="宋体"/>
          <w:sz w:val="24"/>
        </w:rPr>
        <w:t>自热火锅、自热烧烤、自热米饭、自热米线、自热米粉、自热酸辣粉、自热混沌等</w:t>
      </w:r>
      <w:r>
        <w:rPr>
          <w:rFonts w:hint="eastAsia" w:ascii="宋体" w:hAnsi="宋体"/>
          <w:sz w:val="24"/>
          <w:lang w:eastAsia="zh-CN"/>
        </w:rPr>
        <w:t>、</w:t>
      </w:r>
      <w:r>
        <w:rPr>
          <w:rFonts w:hint="eastAsia" w:ascii="宋体" w:hAnsi="宋体"/>
          <w:sz w:val="24"/>
        </w:rPr>
        <w:t>即食食品</w:t>
      </w:r>
      <w:r>
        <w:rPr>
          <w:rFonts w:hint="eastAsia" w:ascii="宋体" w:hAnsi="宋体"/>
          <w:sz w:val="24"/>
          <w:lang w:eastAsia="zh-CN"/>
        </w:rPr>
        <w:t>、</w:t>
      </w:r>
      <w:r>
        <w:rPr>
          <w:rFonts w:hint="eastAsia" w:ascii="宋体" w:hAnsi="宋体"/>
          <w:sz w:val="24"/>
        </w:rPr>
        <w:t>肉类熟食（卤制品、火腿肠、午餐肉、热狗肠等）、代餐食品（奶昔、鸡胸肉、能量棒、代餐肠等）</w:t>
      </w:r>
      <w:r>
        <w:rPr>
          <w:rFonts w:hint="eastAsia" w:ascii="宋体" w:hAnsi="宋体"/>
          <w:sz w:val="24"/>
          <w:lang w:eastAsia="zh-CN"/>
        </w:rPr>
        <w:t>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火锅食材展区：火锅特色食材涮品、火锅底料及调料、火锅饮品、鱼糜和肉糜制品、火锅配套用品；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肉类专区： 冷冻/冰鲜肉、肉卷、肉丸、火腿、香肠、调理食品及即食产品等；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冷冻食品/调理食品专区 ：速食米饭、汤、快餐、方便粥、速冻家禽调理包等速冻食品；</w:t>
      </w:r>
    </w:p>
    <w:p>
      <w:pPr>
        <w:spacing w:line="380" w:lineRule="exact"/>
        <w:ind w:right="-185" w:rightChars="-88"/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高端水海产品专区：水产海鲜、海鲜冻品、干品、活品、水产调理食品及深加工制品</w:t>
      </w:r>
      <w:r>
        <w:rPr>
          <w:rFonts w:hint="eastAsia" w:ascii="宋体" w:hAnsi="宋体"/>
          <w:sz w:val="24"/>
          <w:lang w:eastAsia="zh-CN"/>
        </w:rPr>
        <w:t>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火锅食材专区：肉卷、肉丸、海鲜、蔬菜、火锅调料、火锅蘸料等；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调味品专区 ：食用油、味精、鸡精、酱油、食醋、调味酱、汤料等；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餐饮加盟专区：火锅连锁企业、中餐连锁企业、西餐连锁企业、快餐连锁企业、冰品连锁企业及服务类等；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其他食材：酒水饮料、乳制品、豆制品、米/面（粉）汤料，西餐调味品等；</w:t>
      </w:r>
    </w:p>
    <w:p>
      <w:pPr>
        <w:spacing w:line="380" w:lineRule="exact"/>
        <w:ind w:right="-185" w:rightChars="-88"/>
        <w:rPr>
          <w:rFonts w:hint="eastAsia" w:ascii="宋体" w:hAnsi="宋体" w:eastAsia="宋体"/>
          <w:sz w:val="24"/>
          <w:lang w:eastAsia="zh-CN"/>
        </w:rPr>
      </w:pPr>
      <w:r>
        <w:rPr>
          <w:rFonts w:hint="eastAsia" w:ascii="宋体" w:hAnsi="宋体"/>
          <w:sz w:val="24"/>
        </w:rPr>
        <w:t>一次性餐具展区：玉米淀粉餐具、纸餐具、塑料餐具、竹纤维环保餐具、铝箔餐盒、可降解快餐盒、环保饭盒、快餐饭盒、一次性高级环保餐盒食品餐盒、打包餐盒、汤碗、汤面碗、刀叉、勺、筷、签、豆腐盒、果冻杯、碗、托盘、纸吸管及饮料杯等；快餐、生鲜冷链配送EPP外餐箱、EPP食品保温箱、EPP生鲜配送箱、食品配送箱、保温盒等</w:t>
      </w:r>
      <w:r>
        <w:rPr>
          <w:rFonts w:hint="eastAsia" w:ascii="宋体" w:hAnsi="宋体"/>
          <w:sz w:val="24"/>
          <w:lang w:eastAsia="zh-CN"/>
        </w:rPr>
        <w:t>。</w:t>
      </w:r>
    </w:p>
    <w:p>
      <w:pPr>
        <w:spacing w:line="380" w:lineRule="exact"/>
        <w:ind w:right="-185" w:rightChars="-88"/>
        <w:rPr>
          <w:rFonts w:hint="eastAsia"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【收费标准】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bookmarkStart w:id="0" w:name="OLE_LINK126"/>
      <w:bookmarkStart w:id="1" w:name="OLE_LINK127"/>
      <w:r>
        <w:rPr>
          <w:rFonts w:hint="eastAsia" w:ascii="宋体" w:hAnsi="宋体"/>
          <w:sz w:val="24"/>
        </w:rPr>
        <w:t>标准展位(3m*3m)：    国内展商：</w:t>
      </w:r>
      <w:r>
        <w:rPr>
          <w:rFonts w:hint="eastAsia" w:ascii="宋体" w:hAnsi="宋体"/>
          <w:sz w:val="24"/>
          <w:lang w:val="en-US" w:eastAsia="zh-CN"/>
        </w:rPr>
        <w:t>8</w:t>
      </w:r>
      <w:r>
        <w:rPr>
          <w:rFonts w:hint="eastAsia" w:ascii="宋体" w:hAnsi="宋体"/>
          <w:sz w:val="24"/>
        </w:rPr>
        <w:t xml:space="preserve">800元/9㎡        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标改展位(3m*4m)：    国内展商：</w:t>
      </w:r>
      <w:r>
        <w:rPr>
          <w:rFonts w:hint="eastAsia" w:ascii="宋体" w:hAnsi="宋体"/>
          <w:sz w:val="24"/>
          <w:lang w:val="en-US" w:eastAsia="zh-CN"/>
        </w:rPr>
        <w:t>9</w:t>
      </w:r>
      <w:r>
        <w:rPr>
          <w:rFonts w:hint="eastAsia" w:ascii="宋体" w:hAnsi="宋体"/>
          <w:sz w:val="24"/>
        </w:rPr>
        <w:t>800元/12㎡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国外展商：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800美元/</w:t>
      </w:r>
      <w:bookmarkStart w:id="2" w:name="OLE_LINK115"/>
      <w:bookmarkStart w:id="3" w:name="OLE_LINK114"/>
      <w:r>
        <w:rPr>
          <w:rFonts w:hint="eastAsia" w:ascii="宋体" w:hAnsi="宋体"/>
          <w:sz w:val="24"/>
        </w:rPr>
        <w:t>12㎡</w:t>
      </w:r>
      <w:bookmarkEnd w:id="2"/>
      <w:bookmarkEnd w:id="3"/>
      <w:r>
        <w:rPr>
          <w:rFonts w:hint="eastAsia" w:ascii="宋体" w:hAnsi="宋体"/>
          <w:sz w:val="24"/>
        </w:rPr>
        <w:t xml:space="preserve"> 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豪华展位：</w:t>
      </w:r>
      <w:r>
        <w:rPr>
          <w:rFonts w:hint="eastAsia" w:ascii="宋体" w:hAnsi="宋体"/>
          <w:sz w:val="24"/>
          <w:lang w:val="en-US" w:eastAsia="zh-CN"/>
        </w:rPr>
        <w:t>12</w:t>
      </w:r>
      <w:r>
        <w:rPr>
          <w:rFonts w:hint="eastAsia" w:ascii="宋体" w:hAnsi="宋体"/>
          <w:sz w:val="24"/>
        </w:rPr>
        <w:t>800元/12㎡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注：标准展位包括地毯、三面围板、公司名称楣板、咨询桌一张、折椅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空地费用（36㎡起租）：国内展商：</w:t>
      </w:r>
      <w:r>
        <w:rPr>
          <w:rFonts w:hint="eastAsia" w:ascii="宋体" w:hAnsi="宋体"/>
          <w:sz w:val="24"/>
          <w:lang w:val="en-US" w:eastAsia="zh-CN"/>
        </w:rPr>
        <w:t>8</w:t>
      </w:r>
      <w:r>
        <w:rPr>
          <w:rFonts w:hint="eastAsia" w:ascii="宋体" w:hAnsi="宋体"/>
          <w:sz w:val="24"/>
        </w:rPr>
        <w:t>80元/㎡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 xml:space="preserve"> 国外展商：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80美元/㎡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注：角位加收10%费用，空地不带任何展架及设施，为保障展台搭建质量，请各参展商尽量选择主办方指定搭建商搭建贵司展台。</w:t>
      </w:r>
    </w:p>
    <w:bookmarkEnd w:id="0"/>
    <w:bookmarkEnd w:id="1"/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纸质广告费用：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◇ 封面 ￥2</w:t>
      </w:r>
      <w:r>
        <w:rPr>
          <w:rFonts w:hint="eastAsia" w:ascii="宋体" w:hAnsi="宋体"/>
          <w:sz w:val="24"/>
          <w:lang w:val="en-US" w:eastAsia="zh-CN"/>
        </w:rPr>
        <w:t>0</w:t>
      </w:r>
      <w:r>
        <w:rPr>
          <w:rFonts w:hint="eastAsia" w:ascii="宋体" w:hAnsi="宋体"/>
          <w:sz w:val="24"/>
        </w:rPr>
        <w:t>000元    ◇封底 ￥</w:t>
      </w:r>
      <w:r>
        <w:rPr>
          <w:rFonts w:hint="eastAsia" w:ascii="宋体" w:hAnsi="宋体"/>
          <w:sz w:val="24"/>
          <w:lang w:val="en-US" w:eastAsia="zh-CN"/>
        </w:rPr>
        <w:t>15</w:t>
      </w:r>
      <w:r>
        <w:rPr>
          <w:rFonts w:hint="eastAsia" w:ascii="宋体" w:hAnsi="宋体"/>
          <w:sz w:val="24"/>
        </w:rPr>
        <w:t>000元      ◇扉页 ￥1</w:t>
      </w:r>
      <w:r>
        <w:rPr>
          <w:rFonts w:hint="eastAsia" w:ascii="宋体" w:hAnsi="宋体"/>
          <w:sz w:val="24"/>
          <w:lang w:val="en-US" w:eastAsia="zh-CN"/>
        </w:rPr>
        <w:t>0</w:t>
      </w:r>
      <w:r>
        <w:rPr>
          <w:rFonts w:hint="eastAsia" w:ascii="宋体" w:hAnsi="宋体"/>
          <w:sz w:val="24"/>
        </w:rPr>
        <w:t xml:space="preserve">000元  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◇封二、三 ￥10000元 ◇彩色内页 ￥</w:t>
      </w:r>
      <w:r>
        <w:rPr>
          <w:rFonts w:hint="eastAsia" w:ascii="宋体" w:hAnsi="宋体"/>
          <w:sz w:val="24"/>
          <w:lang w:val="en-US" w:eastAsia="zh-CN"/>
        </w:rPr>
        <w:t>6</w:t>
      </w:r>
      <w:r>
        <w:rPr>
          <w:rFonts w:hint="eastAsia" w:ascii="宋体" w:hAnsi="宋体"/>
          <w:sz w:val="24"/>
        </w:rPr>
        <w:t>000元  ◇门票8000元/万张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◇参观证8800元/万张  ◇手提袋8000元/千个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展场广告费用：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开幕式背景板广告</w:t>
      </w:r>
      <w:r>
        <w:rPr>
          <w:rFonts w:hint="eastAsia" w:ascii="宋体" w:hAnsi="宋体"/>
          <w:sz w:val="24"/>
          <w:lang w:val="en-US" w:eastAsia="zh-CN"/>
        </w:rPr>
        <w:t>20</w:t>
      </w:r>
      <w:r>
        <w:rPr>
          <w:rFonts w:hint="eastAsia" w:ascii="宋体" w:hAnsi="宋体"/>
          <w:sz w:val="24"/>
        </w:rPr>
        <w:t xml:space="preserve">000/展期 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展馆墙体条幅广告24x5.4m/</w:t>
      </w:r>
      <w:r>
        <w:rPr>
          <w:rFonts w:hint="eastAsia" w:ascii="宋体" w:hAnsi="宋体"/>
          <w:sz w:val="24"/>
          <w:lang w:val="en-US" w:eastAsia="zh-CN"/>
        </w:rPr>
        <w:t>3</w:t>
      </w:r>
      <w:r>
        <w:rPr>
          <w:rFonts w:hint="eastAsia" w:ascii="宋体" w:hAnsi="宋体"/>
          <w:sz w:val="24"/>
        </w:rPr>
        <w:t>000/展期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展馆正门广告条幅18x3.6m/</w:t>
      </w:r>
      <w:r>
        <w:rPr>
          <w:rFonts w:hint="eastAsia" w:ascii="宋体" w:hAnsi="宋体"/>
          <w:sz w:val="24"/>
          <w:lang w:val="en-US" w:eastAsia="zh-CN"/>
        </w:rPr>
        <w:t>26</w:t>
      </w:r>
      <w:r>
        <w:rPr>
          <w:rFonts w:hint="eastAsia" w:ascii="宋体" w:hAnsi="宋体"/>
          <w:sz w:val="24"/>
        </w:rPr>
        <w:t>000/展期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大型气球条幅12x0.8m/</w:t>
      </w:r>
      <w:r>
        <w:rPr>
          <w:rFonts w:hint="eastAsia" w:ascii="宋体" w:hAnsi="宋体"/>
          <w:sz w:val="24"/>
          <w:lang w:val="en-US" w:eastAsia="zh-CN"/>
        </w:rPr>
        <w:t>10</w:t>
      </w:r>
      <w:r>
        <w:rPr>
          <w:rFonts w:hint="eastAsia" w:ascii="宋体" w:hAnsi="宋体"/>
          <w:sz w:val="24"/>
        </w:rPr>
        <w:t>000/展期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大型彩虹门16x8m/</w:t>
      </w:r>
      <w:r>
        <w:rPr>
          <w:rFonts w:hint="eastAsia" w:ascii="宋体" w:hAnsi="宋体"/>
          <w:sz w:val="24"/>
          <w:lang w:val="en-US" w:eastAsia="zh-CN"/>
        </w:rPr>
        <w:t>10</w:t>
      </w:r>
      <w:r>
        <w:rPr>
          <w:rFonts w:hint="eastAsia" w:ascii="宋体" w:hAnsi="宋体"/>
          <w:sz w:val="24"/>
        </w:rPr>
        <w:t>000/展期</w:t>
      </w:r>
    </w:p>
    <w:p>
      <w:pPr>
        <w:spacing w:line="380" w:lineRule="exact"/>
        <w:ind w:right="-185" w:rightChars="-88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参观带10000个/20000元（更多优惠广告请向组委会索取）</w:t>
      </w:r>
    </w:p>
    <w:p>
      <w:pPr>
        <w:spacing w:line="380" w:lineRule="exact"/>
        <w:ind w:right="-185" w:rightChars="-88"/>
        <w:rPr>
          <w:rFonts w:hint="eastAsia"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【赞助机会】</w:t>
      </w:r>
    </w:p>
    <w:p>
      <w:pPr>
        <w:spacing w:line="380" w:lineRule="exact"/>
        <w:ind w:right="-185" w:rightChars="-88" w:firstLine="240" w:firstLineChars="1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为提升企业形象和品牌的知名度，彰显卓越的产品品质，组委会特提供多种战略合作宣传机会，作为战略合作单位参与本届展会，将得到更多的增值服务宣传机会。（赞助详细资料请致电组委会索取）</w:t>
      </w:r>
    </w:p>
    <w:p>
      <w:pPr>
        <w:spacing w:line="380" w:lineRule="exact"/>
        <w:ind w:right="-185" w:rightChars="-88"/>
        <w:rPr>
          <w:rFonts w:hint="eastAsia" w:ascii="ˎ̥,arial" w:hAnsi="ˎ̥,arial"/>
          <w:b/>
          <w:color w:val="000000"/>
          <w:sz w:val="24"/>
        </w:rPr>
      </w:pPr>
      <w:r>
        <w:rPr>
          <w:rFonts w:hint="eastAsia" w:ascii="ˎ̥,arial" w:hAnsi="ˎ̥,arial"/>
          <w:b/>
          <w:color w:val="000000"/>
          <w:sz w:val="24"/>
          <w:lang w:val="en-US" w:eastAsia="zh-CN"/>
        </w:rPr>
        <w:t>INIE</w:t>
      </w:r>
      <w:r>
        <w:rPr>
          <w:rFonts w:hint="eastAsia" w:ascii="ˎ̥,arial" w:hAnsi="ˎ̥,arial"/>
          <w:b/>
          <w:color w:val="000000"/>
          <w:sz w:val="24"/>
        </w:rPr>
        <w:t>参与评奖活动，赢取市场荣誉，扩大产品销售</w:t>
      </w:r>
    </w:p>
    <w:p>
      <w:pPr>
        <w:spacing w:line="380" w:lineRule="exact"/>
        <w:ind w:firstLine="477" w:firstLineChars="199"/>
        <w:rPr>
          <w:rFonts w:hint="eastAsia"/>
          <w:color w:val="000000"/>
          <w:sz w:val="24"/>
        </w:rPr>
      </w:pPr>
      <w:r>
        <w:rPr>
          <w:rFonts w:hint="eastAsia" w:ascii="ˎ̥" w:hAnsi="ˎ̥"/>
          <w:color w:val="000000"/>
          <w:sz w:val="24"/>
        </w:rPr>
        <w:t>凡参加中国</w:t>
      </w:r>
      <w:r>
        <w:rPr>
          <w:rFonts w:hint="eastAsia" w:ascii="ˎ̥" w:hAnsi="ˎ̥"/>
          <w:color w:val="000000"/>
          <w:sz w:val="24"/>
          <w:lang w:eastAsia="zh-CN"/>
        </w:rPr>
        <w:t>南京</w:t>
      </w:r>
      <w:r>
        <w:rPr>
          <w:rFonts w:hint="eastAsia" w:ascii="ˎ̥" w:hAnsi="ˎ̥"/>
          <w:color w:val="000000"/>
          <w:sz w:val="24"/>
        </w:rPr>
        <w:t>国际</w:t>
      </w:r>
      <w:r>
        <w:rPr>
          <w:rFonts w:hint="eastAsia" w:ascii="ˎ̥" w:hAnsi="ˎ̥"/>
          <w:color w:val="000000"/>
          <w:sz w:val="24"/>
          <w:lang w:eastAsia="zh-CN"/>
        </w:rPr>
        <w:t>餐饮食材供应链展</w:t>
      </w:r>
      <w:r>
        <w:rPr>
          <w:rFonts w:hint="eastAsia" w:ascii="ˎ̥" w:hAnsi="ˎ̥"/>
          <w:color w:val="000000"/>
          <w:sz w:val="24"/>
        </w:rPr>
        <w:t>览会</w:t>
      </w:r>
      <w:r>
        <w:rPr>
          <w:rFonts w:hint="eastAsia" w:ascii="宋体" w:hAnsi="宋体" w:cs="宋体"/>
          <w:color w:val="000000"/>
          <w:kern w:val="0"/>
          <w:sz w:val="24"/>
        </w:rPr>
        <w:t>的客户</w:t>
      </w:r>
      <w:r>
        <w:rPr>
          <w:rFonts w:hint="eastAsia" w:ascii="ˎ̥" w:hAnsi="ˎ̥"/>
          <w:color w:val="000000"/>
          <w:sz w:val="24"/>
        </w:rPr>
        <w:t>均可参与评奖活动，大会奖项设置</w:t>
      </w:r>
      <w:r>
        <w:rPr>
          <w:rFonts w:hint="eastAsia"/>
          <w:color w:val="000000"/>
          <w:sz w:val="24"/>
        </w:rPr>
        <w:t>金奖</w:t>
      </w:r>
      <w:r>
        <w:rPr>
          <w:rFonts w:hint="eastAsia"/>
          <w:color w:val="000000"/>
          <w:sz w:val="24"/>
          <w:lang w:eastAsia="zh-CN"/>
        </w:rPr>
        <w:t>、</w:t>
      </w:r>
      <w:r>
        <w:rPr>
          <w:rFonts w:hint="eastAsia"/>
          <w:color w:val="000000"/>
          <w:sz w:val="24"/>
        </w:rPr>
        <w:t>十佳品牌、诚信标兵奖</w:t>
      </w:r>
      <w:r>
        <w:rPr>
          <w:rFonts w:hint="eastAsia"/>
          <w:color w:val="000000"/>
          <w:sz w:val="24"/>
          <w:lang w:eastAsia="zh-CN"/>
        </w:rPr>
        <w:t>、</w:t>
      </w:r>
      <w:r>
        <w:rPr>
          <w:rFonts w:hint="eastAsia"/>
          <w:color w:val="000000"/>
          <w:sz w:val="24"/>
        </w:rPr>
        <w:t>指定产品、推荐产品奖</w:t>
      </w:r>
      <w:r>
        <w:rPr>
          <w:rFonts w:hint="eastAsia"/>
          <w:color w:val="000000"/>
          <w:sz w:val="24"/>
          <w:lang w:eastAsia="zh-CN"/>
        </w:rPr>
        <w:t>。</w:t>
      </w:r>
      <w:r>
        <w:rPr>
          <w:rFonts w:hint="eastAsia"/>
          <w:color w:val="000000"/>
          <w:sz w:val="24"/>
        </w:rPr>
        <w:t>（详情请向组委会索取）</w:t>
      </w:r>
    </w:p>
    <w:p>
      <w:pPr>
        <w:spacing w:line="380" w:lineRule="exact"/>
        <w:rPr>
          <w:rFonts w:hint="eastAsia"/>
          <w:b/>
          <w:color w:val="000000"/>
          <w:sz w:val="24"/>
        </w:rPr>
      </w:pPr>
      <w:r>
        <w:rPr>
          <w:rFonts w:hint="eastAsia"/>
          <w:b/>
          <w:color w:val="000000"/>
          <w:sz w:val="24"/>
          <w:lang w:val="en-US" w:eastAsia="zh-CN"/>
        </w:rPr>
        <w:t>INIE</w:t>
      </w:r>
      <w:r>
        <w:rPr>
          <w:rFonts w:hint="eastAsia"/>
          <w:b/>
          <w:color w:val="000000"/>
          <w:sz w:val="24"/>
        </w:rPr>
        <w:t>参展程序：</w:t>
      </w:r>
    </w:p>
    <w:p>
      <w:pPr>
        <w:spacing w:line="380" w:lineRule="exact"/>
        <w:rPr>
          <w:rFonts w:hint="eastAsia" w:eastAsia="宋体"/>
          <w:color w:val="000000"/>
          <w:sz w:val="24"/>
          <w:lang w:eastAsia="zh-CN"/>
        </w:rPr>
      </w:pPr>
      <w:r>
        <w:rPr>
          <w:rFonts w:hint="eastAsia"/>
          <w:color w:val="000000"/>
          <w:sz w:val="24"/>
        </w:rPr>
        <w:t>1．填写申请表传真至组织单位：展位分配原则：先申请</w:t>
      </w:r>
      <w:r>
        <w:rPr>
          <w:rFonts w:hint="eastAsia"/>
          <w:color w:val="000000"/>
          <w:sz w:val="24"/>
          <w:lang w:eastAsia="zh-CN"/>
        </w:rPr>
        <w:t>、</w:t>
      </w:r>
      <w:r>
        <w:rPr>
          <w:rFonts w:hint="eastAsia"/>
          <w:color w:val="000000"/>
          <w:sz w:val="24"/>
        </w:rPr>
        <w:t>先付款</w:t>
      </w:r>
      <w:r>
        <w:rPr>
          <w:rFonts w:hint="eastAsia"/>
          <w:color w:val="000000"/>
          <w:sz w:val="24"/>
          <w:lang w:eastAsia="zh-CN"/>
        </w:rPr>
        <w:t>、</w:t>
      </w:r>
      <w:r>
        <w:rPr>
          <w:rFonts w:hint="eastAsia"/>
          <w:color w:val="000000"/>
          <w:sz w:val="24"/>
        </w:rPr>
        <w:t>先安排</w:t>
      </w:r>
      <w:r>
        <w:rPr>
          <w:rFonts w:hint="eastAsia"/>
          <w:color w:val="000000"/>
          <w:sz w:val="24"/>
          <w:lang w:eastAsia="zh-CN"/>
        </w:rPr>
        <w:t>；</w:t>
      </w:r>
    </w:p>
    <w:p>
      <w:pPr>
        <w:spacing w:line="380" w:lineRule="exact"/>
        <w:rPr>
          <w:rFonts w:hint="eastAsia" w:eastAsia="宋体"/>
          <w:color w:val="000000"/>
          <w:sz w:val="24"/>
          <w:lang w:eastAsia="zh-CN"/>
        </w:rPr>
      </w:pPr>
      <w:r>
        <w:rPr>
          <w:rFonts w:hint="eastAsia"/>
          <w:color w:val="000000"/>
          <w:sz w:val="24"/>
        </w:rPr>
        <w:t>2．申请展位</w:t>
      </w:r>
      <w:r>
        <w:rPr>
          <w:rFonts w:hint="eastAsia"/>
          <w:color w:val="000000"/>
          <w:sz w:val="24"/>
          <w:lang w:val="en-US" w:eastAsia="zh-CN"/>
        </w:rPr>
        <w:t>3</w:t>
      </w:r>
      <w:r>
        <w:rPr>
          <w:rFonts w:hint="eastAsia"/>
          <w:color w:val="000000"/>
          <w:sz w:val="24"/>
        </w:rPr>
        <w:t>个工作日内将参展费用电汇或交至组织单位</w:t>
      </w:r>
      <w:r>
        <w:rPr>
          <w:rFonts w:hint="eastAsia"/>
          <w:color w:val="000000"/>
          <w:sz w:val="24"/>
          <w:lang w:eastAsia="zh-CN"/>
        </w:rPr>
        <w:t>；</w:t>
      </w:r>
    </w:p>
    <w:p>
      <w:pPr>
        <w:spacing w:line="380" w:lineRule="exact"/>
        <w:rPr>
          <w:rFonts w:hint="eastAsia" w:eastAsia="宋体"/>
          <w:color w:val="000000"/>
          <w:sz w:val="24"/>
          <w:lang w:eastAsia="zh-CN"/>
        </w:rPr>
      </w:pPr>
      <w:r>
        <w:rPr>
          <w:rFonts w:hint="eastAsia"/>
          <w:color w:val="000000"/>
          <w:sz w:val="24"/>
        </w:rPr>
        <w:t>3．参展商在汇出各项费用后，请将银行汇款单</w:t>
      </w:r>
      <w:r>
        <w:rPr>
          <w:rFonts w:hint="eastAsia"/>
          <w:color w:val="000000"/>
          <w:sz w:val="24"/>
          <w:lang w:eastAsia="zh-CN"/>
        </w:rPr>
        <w:t>发送</w:t>
      </w:r>
      <w:r>
        <w:rPr>
          <w:rFonts w:hint="eastAsia"/>
          <w:color w:val="000000"/>
          <w:sz w:val="24"/>
        </w:rPr>
        <w:t>至组织单位</w:t>
      </w:r>
      <w:r>
        <w:rPr>
          <w:rFonts w:hint="eastAsia"/>
          <w:color w:val="000000"/>
          <w:sz w:val="24"/>
          <w:lang w:eastAsia="zh-CN"/>
        </w:rPr>
        <w:t>；</w:t>
      </w:r>
    </w:p>
    <w:p>
      <w:pPr>
        <w:spacing w:line="380" w:lineRule="exact"/>
        <w:rPr>
          <w:rFonts w:hint="eastAsia" w:eastAsia="宋体"/>
          <w:color w:val="000000"/>
          <w:sz w:val="24"/>
          <w:lang w:eastAsia="zh-CN"/>
        </w:rPr>
      </w:pPr>
      <w:r>
        <w:rPr>
          <w:rFonts w:hint="eastAsia"/>
          <w:color w:val="000000"/>
          <w:sz w:val="24"/>
        </w:rPr>
        <w:t>4．组织单位在收到展台费用后，展会开始前一个月寄《参展手册》给参展商</w:t>
      </w:r>
      <w:r>
        <w:rPr>
          <w:rFonts w:hint="eastAsia"/>
          <w:color w:val="000000"/>
          <w:sz w:val="24"/>
          <w:lang w:eastAsia="zh-CN"/>
        </w:rPr>
        <w:t>；</w:t>
      </w:r>
    </w:p>
    <w:p>
      <w:pPr>
        <w:spacing w:line="380" w:lineRule="exact"/>
        <w:rPr>
          <w:rFonts w:hint="eastAsia"/>
          <w:color w:val="000000"/>
          <w:sz w:val="24"/>
        </w:rPr>
      </w:pPr>
      <w:r>
        <w:rPr>
          <w:rFonts w:hint="eastAsia"/>
          <w:color w:val="000000"/>
          <w:sz w:val="24"/>
        </w:rPr>
        <w:t>成为协办单位的无穷商机——详情请向组委会索取。</w:t>
      </w:r>
    </w:p>
    <w:p>
      <w:pPr>
        <w:widowControl/>
        <w:numPr>
          <w:ilvl w:val="0"/>
          <w:numId w:val="0"/>
        </w:numPr>
        <w:spacing w:line="380" w:lineRule="exact"/>
        <w:ind w:leftChars="0"/>
        <w:rPr>
          <w:rFonts w:hint="eastAsia" w:ascii="宋体" w:hAnsi="宋体" w:cs="Arial"/>
          <w:b/>
          <w:sz w:val="24"/>
        </w:rPr>
      </w:pPr>
      <w:r>
        <w:rPr>
          <w:rFonts w:hint="eastAsia" w:ascii="宋体" w:hAnsi="宋体" w:cs="Arial"/>
          <w:b/>
          <w:sz w:val="24"/>
          <w:lang w:val="en-US" w:eastAsia="zh-CN"/>
        </w:rPr>
        <w:t>INIE</w:t>
      </w:r>
      <w:r>
        <w:rPr>
          <w:rFonts w:hint="eastAsia" w:ascii="宋体" w:hAnsi="宋体" w:cs="Arial"/>
          <w:b/>
          <w:sz w:val="24"/>
        </w:rPr>
        <w:t xml:space="preserve"> 组委会秘书处： </w:t>
      </w:r>
    </w:p>
    <w:p>
      <w:pPr>
        <w:widowControl/>
        <w:numPr>
          <w:ilvl w:val="0"/>
          <w:numId w:val="0"/>
        </w:numPr>
        <w:spacing w:line="380" w:lineRule="exact"/>
        <w:ind w:leftChars="0"/>
        <w:rPr>
          <w:rFonts w:hint="eastAsia" w:ascii="宋体" w:hAnsi="宋体" w:eastAsia="宋体" w:cs="Arial"/>
          <w:b/>
          <w:sz w:val="24"/>
          <w:lang w:eastAsia="zh-CN"/>
        </w:rPr>
        <w:sectPr>
          <w:headerReference r:id="rId3" w:type="default"/>
          <w:pgSz w:w="11906" w:h="16838"/>
          <w:pgMar w:top="1440" w:right="1134" w:bottom="1440" w:left="1134" w:header="851" w:footer="992" w:gutter="0"/>
          <w:cols w:space="720" w:num="1"/>
          <w:docGrid w:type="lines" w:linePitch="312" w:charSpace="0"/>
        </w:sectPr>
      </w:pPr>
      <w:r>
        <w:rPr>
          <w:rFonts w:hint="eastAsia" w:ascii="宋体" w:hAnsi="宋体" w:cs="Arial"/>
          <w:b/>
          <w:sz w:val="24"/>
          <w:lang w:eastAsia="zh-CN"/>
        </w:rPr>
        <w:t>北京正阳国际展览有限公司</w:t>
      </w:r>
    </w:p>
    <w:p>
      <w:pPr>
        <w:widowControl/>
        <w:spacing w:line="380" w:lineRule="exact"/>
        <w:rPr>
          <w:rFonts w:hint="default" w:ascii="Arial" w:hAnsi="Arial" w:eastAsia="宋体" w:cs="Arial"/>
          <w:b/>
          <w:bCs/>
          <w:sz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</w:rPr>
        <w:t>地 址：北京市顺义区航城广场G座809室</w:t>
      </w:r>
    </w:p>
    <w:p>
      <w:pPr>
        <w:tabs>
          <w:tab w:val="left" w:pos="4320"/>
        </w:tabs>
        <w:autoSpaceDE w:val="0"/>
        <w:autoSpaceDN w:val="0"/>
        <w:adjustRightInd w:val="0"/>
        <w:spacing w:line="380" w:lineRule="exact"/>
        <w:ind w:right="-5023" w:rightChars="-2392"/>
        <w:jc w:val="left"/>
        <w:rPr>
          <w:rFonts w:hint="default" w:ascii="Arial" w:hAnsi="Arial" w:eastAsia="宋体" w:cs="Arial"/>
          <w:b/>
          <w:bCs/>
          <w:sz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</w:rPr>
        <w:t>电 话：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>0</w:t>
      </w:r>
      <w:r>
        <w:rPr>
          <w:rFonts w:hint="eastAsia" w:ascii="Arial" w:hAnsi="Arial" w:cs="Arial"/>
          <w:b/>
          <w:bCs/>
          <w:sz w:val="24"/>
        </w:rPr>
        <w:t>10-5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>2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>230266</w:t>
      </w:r>
    </w:p>
    <w:p>
      <w:pPr>
        <w:numPr>
          <w:ilvl w:val="0"/>
          <w:numId w:val="0"/>
        </w:numPr>
        <w:tabs>
          <w:tab w:val="left" w:pos="4320"/>
        </w:tabs>
        <w:autoSpaceDE w:val="0"/>
        <w:autoSpaceDN w:val="0"/>
        <w:adjustRightInd w:val="0"/>
        <w:spacing w:line="380" w:lineRule="exact"/>
        <w:ind w:right="-5023" w:rightChars="-2392"/>
        <w:jc w:val="left"/>
        <w:rPr>
          <w:rFonts w:hint="eastAsia" w:ascii="Arial" w:hAnsi="Arial" w:cs="Arial"/>
          <w:b/>
          <w:bCs/>
          <w:sz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</w:rPr>
        <w:t>招商部经理：</w:t>
      </w:r>
      <w:r>
        <w:rPr>
          <w:rFonts w:hint="eastAsia" w:ascii="Arial" w:hAnsi="Arial" w:cs="Arial"/>
          <w:b/>
          <w:bCs/>
          <w:sz w:val="24"/>
          <w:lang w:eastAsia="zh-CN"/>
        </w:rPr>
        <w:t>王慧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 xml:space="preserve"> 13260118527</w:t>
      </w:r>
    </w:p>
    <w:p>
      <w:pPr>
        <w:numPr>
          <w:ilvl w:val="0"/>
          <w:numId w:val="0"/>
        </w:numPr>
        <w:tabs>
          <w:tab w:val="left" w:pos="4320"/>
        </w:tabs>
        <w:autoSpaceDE w:val="0"/>
        <w:autoSpaceDN w:val="0"/>
        <w:adjustRightInd w:val="0"/>
        <w:spacing w:line="380" w:lineRule="exact"/>
        <w:ind w:right="-5023" w:rightChars="-2392"/>
        <w:jc w:val="left"/>
        <w:rPr>
          <w:rFonts w:hint="eastAsia" w:ascii="Arial" w:hAnsi="Arial" w:cs="Arial"/>
          <w:b/>
          <w:bCs/>
          <w:sz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lang w:val="en-US" w:eastAsia="zh-CN"/>
        </w:rPr>
        <w:t>E-</w:t>
      </w:r>
      <w:r>
        <w:rPr>
          <w:rFonts w:hint="eastAsia" w:ascii="Arial" w:hAnsi="Arial" w:cs="Arial"/>
          <w:b/>
          <w:bCs/>
          <w:sz w:val="24"/>
        </w:rPr>
        <w:t>mail：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>6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>24425174</w:t>
      </w:r>
      <w:r>
        <w:rPr>
          <w:rFonts w:hint="eastAsia" w:ascii="Arial" w:hAnsi="Arial" w:cs="Arial"/>
          <w:b/>
          <w:bCs/>
          <w:sz w:val="24"/>
        </w:rPr>
        <w:t>@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>qq</w:t>
      </w:r>
      <w:r>
        <w:rPr>
          <w:rFonts w:hint="eastAsia" w:ascii="Arial" w:hAnsi="Arial" w:cs="Arial"/>
          <w:b/>
          <w:bCs/>
          <w:sz w:val="24"/>
        </w:rPr>
        <w:t xml:space="preserve">.com   </w:t>
      </w:r>
      <w:r>
        <w:rPr>
          <w:rFonts w:hint="eastAsia" w:ascii="Arial" w:hAnsi="Arial" w:cs="Arial"/>
          <w:b/>
          <w:bCs/>
          <w:sz w:val="24"/>
          <w:lang w:val="en-US" w:eastAsia="zh-CN"/>
        </w:rPr>
        <w:t xml:space="preserve"> </w:t>
      </w:r>
    </w:p>
    <w:p>
      <w:pPr>
        <w:numPr>
          <w:ilvl w:val="0"/>
          <w:numId w:val="0"/>
        </w:numPr>
        <w:tabs>
          <w:tab w:val="left" w:pos="4320"/>
        </w:tabs>
        <w:autoSpaceDE w:val="0"/>
        <w:autoSpaceDN w:val="0"/>
        <w:adjustRightInd w:val="0"/>
        <w:spacing w:line="380" w:lineRule="exact"/>
        <w:ind w:right="-5023" w:rightChars="-2392"/>
        <w:jc w:val="left"/>
        <w:rPr>
          <w:rFonts w:hint="eastAsia" w:ascii="Arial" w:hAnsi="Arial" w:cs="Arial"/>
          <w:b/>
          <w:bCs/>
          <w:sz w:val="24"/>
          <w:lang w:val="en-US" w:eastAsia="zh-CN"/>
        </w:rPr>
      </w:pPr>
      <w:r>
        <w:rPr>
          <w:rFonts w:hint="eastAsia" w:ascii="Arial" w:hAnsi="Arial" w:cs="Arial"/>
          <w:b/>
          <w:bCs/>
          <w:sz w:val="24"/>
          <w:lang w:val="en-US" w:eastAsia="zh-CN"/>
        </w:rPr>
        <w:t>大会官方网站：http://www.rgznzh.com</w:t>
      </w:r>
    </w:p>
    <w:p>
      <w:pPr>
        <w:numPr>
          <w:ilvl w:val="0"/>
          <w:numId w:val="0"/>
        </w:numPr>
        <w:tabs>
          <w:tab w:val="left" w:pos="4320"/>
        </w:tabs>
        <w:autoSpaceDE w:val="0"/>
        <w:autoSpaceDN w:val="0"/>
        <w:adjustRightInd w:val="0"/>
        <w:spacing w:line="380" w:lineRule="exact"/>
        <w:ind w:right="-5023" w:rightChars="-2392"/>
        <w:jc w:val="left"/>
        <w:rPr>
          <w:rFonts w:hint="eastAsia" w:ascii="Arial" w:hAnsi="Arial" w:cs="Arial"/>
          <w:b/>
          <w:bCs/>
          <w:sz w:val="24"/>
          <w:lang w:val="en-US" w:eastAsia="zh-CN"/>
        </w:rPr>
      </w:pPr>
    </w:p>
    <w:p>
      <w:pPr>
        <w:numPr>
          <w:ilvl w:val="0"/>
          <w:numId w:val="0"/>
        </w:numPr>
        <w:tabs>
          <w:tab w:val="left" w:pos="4320"/>
        </w:tabs>
        <w:autoSpaceDE w:val="0"/>
        <w:autoSpaceDN w:val="0"/>
        <w:adjustRightInd w:val="0"/>
        <w:spacing w:line="380" w:lineRule="exact"/>
        <w:ind w:right="-5023" w:rightChars="-2392"/>
        <w:jc w:val="left"/>
        <w:rPr>
          <w:rFonts w:hint="eastAsia" w:ascii="Arial" w:hAnsi="Arial" w:cs="Arial"/>
          <w:b/>
          <w:bCs/>
          <w:sz w:val="24"/>
        </w:rPr>
      </w:pPr>
    </w:p>
    <w:p>
      <w:pPr>
        <w:tabs>
          <w:tab w:val="left" w:pos="4320"/>
        </w:tabs>
        <w:autoSpaceDE w:val="0"/>
        <w:autoSpaceDN w:val="0"/>
        <w:adjustRightInd w:val="0"/>
        <w:spacing w:line="380" w:lineRule="exact"/>
        <w:ind w:right="-5023" w:rightChars="-2392"/>
        <w:jc w:val="left"/>
        <w:rPr>
          <w:rFonts w:hint="eastAsia"/>
        </w:rPr>
      </w:pPr>
    </w:p>
    <w:sectPr>
      <w:type w:val="continuous"/>
      <w:pgSz w:w="11906" w:h="16838"/>
      <w:pgMar w:top="1134" w:right="1134" w:bottom="1134" w:left="113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ˎ̥,arial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Y4YjkzMzc0ODYwOTFiMzMwOGFiZGZjY2FmNmNjYjAifQ=="/>
  </w:docVars>
  <w:rsids>
    <w:rsidRoot w:val="00172A27"/>
    <w:rsid w:val="000221DD"/>
    <w:rsid w:val="00046655"/>
    <w:rsid w:val="00074B42"/>
    <w:rsid w:val="0011419E"/>
    <w:rsid w:val="001223A2"/>
    <w:rsid w:val="00141559"/>
    <w:rsid w:val="00145350"/>
    <w:rsid w:val="00160F46"/>
    <w:rsid w:val="00170FCC"/>
    <w:rsid w:val="001A08CC"/>
    <w:rsid w:val="001E033C"/>
    <w:rsid w:val="001E3516"/>
    <w:rsid w:val="001F36FB"/>
    <w:rsid w:val="001F404A"/>
    <w:rsid w:val="002026DC"/>
    <w:rsid w:val="00206F62"/>
    <w:rsid w:val="002353F4"/>
    <w:rsid w:val="002C0EA7"/>
    <w:rsid w:val="002E7EEE"/>
    <w:rsid w:val="0036725A"/>
    <w:rsid w:val="00370775"/>
    <w:rsid w:val="00387695"/>
    <w:rsid w:val="00410E1B"/>
    <w:rsid w:val="00426F6C"/>
    <w:rsid w:val="00433A88"/>
    <w:rsid w:val="00442F78"/>
    <w:rsid w:val="00457B09"/>
    <w:rsid w:val="00480D03"/>
    <w:rsid w:val="00482DF0"/>
    <w:rsid w:val="004B48E5"/>
    <w:rsid w:val="004C34C0"/>
    <w:rsid w:val="004C3AA8"/>
    <w:rsid w:val="00535EEC"/>
    <w:rsid w:val="00536A45"/>
    <w:rsid w:val="00543F7F"/>
    <w:rsid w:val="005B66F9"/>
    <w:rsid w:val="005C4D60"/>
    <w:rsid w:val="005D76AF"/>
    <w:rsid w:val="00626EA7"/>
    <w:rsid w:val="00631B6B"/>
    <w:rsid w:val="00633C75"/>
    <w:rsid w:val="00644DE8"/>
    <w:rsid w:val="00684B45"/>
    <w:rsid w:val="006963D7"/>
    <w:rsid w:val="006C6D2A"/>
    <w:rsid w:val="006D5720"/>
    <w:rsid w:val="006F42CC"/>
    <w:rsid w:val="0076332D"/>
    <w:rsid w:val="007742EA"/>
    <w:rsid w:val="007C7082"/>
    <w:rsid w:val="00885793"/>
    <w:rsid w:val="00885814"/>
    <w:rsid w:val="00893B99"/>
    <w:rsid w:val="008A6EFA"/>
    <w:rsid w:val="008C6E62"/>
    <w:rsid w:val="008D0B44"/>
    <w:rsid w:val="008D46B5"/>
    <w:rsid w:val="008F6EC9"/>
    <w:rsid w:val="00924CF3"/>
    <w:rsid w:val="00941134"/>
    <w:rsid w:val="009A157B"/>
    <w:rsid w:val="009A1C13"/>
    <w:rsid w:val="009B1890"/>
    <w:rsid w:val="009C75E3"/>
    <w:rsid w:val="00AB2629"/>
    <w:rsid w:val="00AC326C"/>
    <w:rsid w:val="00AE0820"/>
    <w:rsid w:val="00B04C3C"/>
    <w:rsid w:val="00B06126"/>
    <w:rsid w:val="00B14C3B"/>
    <w:rsid w:val="00BB2397"/>
    <w:rsid w:val="00BB7318"/>
    <w:rsid w:val="00BE1A6F"/>
    <w:rsid w:val="00C268FF"/>
    <w:rsid w:val="00C34CA3"/>
    <w:rsid w:val="00C72B0D"/>
    <w:rsid w:val="00C86C69"/>
    <w:rsid w:val="00C92FAE"/>
    <w:rsid w:val="00CC5CD1"/>
    <w:rsid w:val="00D55DEC"/>
    <w:rsid w:val="00D56C52"/>
    <w:rsid w:val="00D67D08"/>
    <w:rsid w:val="00D75C36"/>
    <w:rsid w:val="00DB56CF"/>
    <w:rsid w:val="00DE1EBD"/>
    <w:rsid w:val="00E8375E"/>
    <w:rsid w:val="00EA76A2"/>
    <w:rsid w:val="00ED6787"/>
    <w:rsid w:val="00ED7175"/>
    <w:rsid w:val="00F22ECC"/>
    <w:rsid w:val="00F269C7"/>
    <w:rsid w:val="00F72B4E"/>
    <w:rsid w:val="00F819F8"/>
    <w:rsid w:val="00FA058F"/>
    <w:rsid w:val="00FB70AC"/>
    <w:rsid w:val="00FF0488"/>
    <w:rsid w:val="02581525"/>
    <w:rsid w:val="03991DF6"/>
    <w:rsid w:val="071B59B4"/>
    <w:rsid w:val="07526569"/>
    <w:rsid w:val="082C3238"/>
    <w:rsid w:val="09061CDB"/>
    <w:rsid w:val="0A153C6B"/>
    <w:rsid w:val="0A6E60AF"/>
    <w:rsid w:val="0D3818EF"/>
    <w:rsid w:val="13521290"/>
    <w:rsid w:val="17433E6C"/>
    <w:rsid w:val="1D9751A0"/>
    <w:rsid w:val="1F0F498D"/>
    <w:rsid w:val="1FAE0A00"/>
    <w:rsid w:val="214E3DC8"/>
    <w:rsid w:val="220E6876"/>
    <w:rsid w:val="239B38D9"/>
    <w:rsid w:val="262670C1"/>
    <w:rsid w:val="27C44DE4"/>
    <w:rsid w:val="2BA325E3"/>
    <w:rsid w:val="2FAA2B11"/>
    <w:rsid w:val="34630E7B"/>
    <w:rsid w:val="34B23E39"/>
    <w:rsid w:val="39620086"/>
    <w:rsid w:val="3B912DD7"/>
    <w:rsid w:val="3DB36B51"/>
    <w:rsid w:val="401522AD"/>
    <w:rsid w:val="407B1C4F"/>
    <w:rsid w:val="43456981"/>
    <w:rsid w:val="464E3D9E"/>
    <w:rsid w:val="485936DF"/>
    <w:rsid w:val="49C9008D"/>
    <w:rsid w:val="4AB20CA5"/>
    <w:rsid w:val="4C9D5A7F"/>
    <w:rsid w:val="511905C1"/>
    <w:rsid w:val="53091FBF"/>
    <w:rsid w:val="56C1236A"/>
    <w:rsid w:val="5B6F1486"/>
    <w:rsid w:val="5C7D4C3B"/>
    <w:rsid w:val="5D973E25"/>
    <w:rsid w:val="5E4A6C6C"/>
    <w:rsid w:val="5E671A49"/>
    <w:rsid w:val="600B4C02"/>
    <w:rsid w:val="60157685"/>
    <w:rsid w:val="60EE302E"/>
    <w:rsid w:val="64D15E6B"/>
    <w:rsid w:val="64FB113D"/>
    <w:rsid w:val="6D34343E"/>
    <w:rsid w:val="6FB24AEE"/>
    <w:rsid w:val="713752C2"/>
    <w:rsid w:val="736126A3"/>
    <w:rsid w:val="737A1226"/>
    <w:rsid w:val="75167FE7"/>
    <w:rsid w:val="78041313"/>
    <w:rsid w:val="78697C86"/>
    <w:rsid w:val="79000350"/>
    <w:rsid w:val="7CD3767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uiPriority w:val="0"/>
    <w:pPr>
      <w:keepNext/>
      <w:keepLines/>
      <w:spacing w:before="340" w:beforeLines="0" w:after="330" w:afterLines="0" w:line="576" w:lineRule="auto"/>
      <w:outlineLvl w:val="0"/>
    </w:pPr>
    <w:rPr>
      <w:b/>
      <w:bCs/>
      <w:kern w:val="44"/>
      <w:sz w:val="44"/>
      <w:szCs w:val="44"/>
    </w:rPr>
  </w:style>
  <w:style w:type="character" w:default="1" w:styleId="9">
    <w:name w:val="Default Paragraph Font"/>
    <w:uiPriority w:val="0"/>
  </w:style>
  <w:style w:type="table" w:default="1" w:styleId="8">
    <w:name w:val="Normal Table"/>
    <w:semiHidden/>
    <w:uiPriority w:val="0"/>
    <w:tblPr>
      <w:tblStyle w:val="8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uiPriority w:val="0"/>
    <w:rPr>
      <w:sz w:val="18"/>
    </w:rPr>
  </w:style>
  <w:style w:type="paragraph" w:styleId="4">
    <w:name w:val="Body Text Indent"/>
    <w:basedOn w:val="1"/>
    <w:uiPriority w:val="0"/>
    <w:pPr>
      <w:spacing w:after="120" w:afterLines="0"/>
      <w:ind w:left="420" w:leftChars="200"/>
    </w:pPr>
  </w:style>
  <w:style w:type="paragraph" w:styleId="5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uiPriority w:val="0"/>
    <w:rPr>
      <w:b/>
      <w:bCs/>
    </w:rPr>
  </w:style>
  <w:style w:type="character" w:styleId="11">
    <w:name w:val="FollowedHyperlink"/>
    <w:basedOn w:val="9"/>
    <w:uiPriority w:val="0"/>
    <w:rPr>
      <w:color w:val="800080"/>
      <w:u w:val="single"/>
    </w:rPr>
  </w:style>
  <w:style w:type="character" w:styleId="12">
    <w:name w:val="Hyperlink"/>
    <w:basedOn w:val="9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Company>WwW.YLMF.CoM</Company>
  <Pages>4</Pages>
  <Words>3282</Words>
  <Characters>3626</Characters>
  <Lines>27</Lines>
  <Paragraphs>7</Paragraphs>
  <TotalTime>105</TotalTime>
  <ScaleCrop>false</ScaleCrop>
  <LinksUpToDate>false</LinksUpToDate>
  <CharactersWithSpaces>3754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2012-12-21T08:24:00Z</dcterms:created>
  <dc:creator>微软用户</dc:creator>
  <cp:lastModifiedBy>阿怪</cp:lastModifiedBy>
  <cp:lastPrinted>2012-09-20T05:56:00Z</cp:lastPrinted>
  <dcterms:modified xsi:type="dcterms:W3CDTF">2023-10-10T08:33:17Z</dcterms:modified>
  <dc:title>TO:</dc:title>
  <cp:revision>43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E2EE0DF8AA8D4B1EAF0272BDA0CBEB26_13</vt:lpwstr>
  </property>
</Properties>
</file>