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44"/>
          <w:szCs w:val="44"/>
        </w:rPr>
      </w:pPr>
      <w:r>
        <w:rPr>
          <w:rFonts w:hint="eastAsia" w:ascii="微软雅黑" w:hAnsi="微软雅黑" w:eastAsia="微软雅黑"/>
          <w:b/>
          <w:sz w:val="44"/>
          <w:szCs w:val="44"/>
        </w:rPr>
        <w:t>2024 上海环境监测展(监测与控制)</w:t>
      </w:r>
    </w:p>
    <w:p>
      <w:pPr>
        <w:jc w:val="center"/>
        <w:rPr>
          <w:rFonts w:hint="eastAsia" w:eastAsiaTheme="minorEastAsia"/>
          <w:bCs/>
          <w:sz w:val="32"/>
          <w:szCs w:val="32"/>
          <w:lang w:val="en-US" w:eastAsia="zh-CN"/>
        </w:rPr>
      </w:pPr>
      <w:r>
        <w:rPr>
          <w:rFonts w:hint="eastAsia" w:ascii="微软雅黑" w:hAnsi="微软雅黑" w:eastAsia="微软雅黑"/>
          <w:b/>
          <w:sz w:val="28"/>
          <w:szCs w:val="28"/>
        </w:rPr>
        <w:t>上海国际环境监测与过程控制展览会</w:t>
      </w:r>
      <w:r>
        <w:rPr>
          <w:rFonts w:hint="eastAsia"/>
          <w:bCs/>
          <w:sz w:val="32"/>
          <w:szCs w:val="32"/>
          <w:lang w:val="en-US" w:eastAsia="zh-CN"/>
        </w:rPr>
        <w:t>INTENV</w:t>
      </w:r>
      <w:r>
        <w:rPr>
          <w:bCs/>
          <w:sz w:val="32"/>
          <w:szCs w:val="32"/>
        </w:rPr>
        <w:t xml:space="preserve"> </w:t>
      </w:r>
      <w:r>
        <w:rPr>
          <w:rFonts w:hint="eastAsia"/>
          <w:bCs/>
          <w:sz w:val="32"/>
          <w:szCs w:val="32"/>
        </w:rPr>
        <w:t>CHINA</w:t>
      </w:r>
      <w:r>
        <w:rPr>
          <w:bCs/>
          <w:sz w:val="32"/>
          <w:szCs w:val="32"/>
        </w:rPr>
        <w:t xml:space="preserve"> </w:t>
      </w:r>
      <w:r>
        <w:rPr>
          <w:rFonts w:hint="eastAsia"/>
          <w:bCs/>
          <w:sz w:val="32"/>
          <w:szCs w:val="32"/>
        </w:rPr>
        <w:t>202</w:t>
      </w:r>
      <w:r>
        <w:rPr>
          <w:rFonts w:hint="eastAsia"/>
          <w:bCs/>
          <w:sz w:val="32"/>
          <w:szCs w:val="32"/>
          <w:lang w:val="en-US" w:eastAsia="zh-CN"/>
        </w:rPr>
        <w:t>4</w:t>
      </w:r>
    </w:p>
    <w:p>
      <w:pPr>
        <w:jc w:val="center"/>
        <w:rPr>
          <w:rFonts w:hint="default" w:ascii="微软雅黑" w:hAnsi="微软雅黑" w:eastAsia="微软雅黑"/>
          <w:b/>
          <w:sz w:val="21"/>
          <w:szCs w:val="21"/>
          <w:lang w:val="en-US" w:eastAsia="zh-CN"/>
        </w:rPr>
      </w:pPr>
    </w:p>
    <w:p>
      <w:pPr>
        <w:spacing w:line="400" w:lineRule="exact"/>
        <w:jc w:val="left"/>
        <w:rPr>
          <w:rFonts w:hint="eastAsia"/>
          <w:b w:val="0"/>
          <w:bCs/>
          <w:sz w:val="21"/>
          <w:szCs w:val="21"/>
          <w:lang w:val="en-US" w:eastAsia="zh-CN"/>
        </w:rPr>
      </w:pPr>
      <w:r>
        <w:rPr>
          <w:rFonts w:hint="eastAsia"/>
          <w:b/>
          <w:bCs w:val="0"/>
          <w:sz w:val="21"/>
          <w:szCs w:val="21"/>
          <w:lang w:val="en-US" w:eastAsia="zh-CN"/>
        </w:rPr>
        <w:t>展会日期：</w:t>
      </w:r>
      <w:r>
        <w:rPr>
          <w:rFonts w:hint="eastAsia"/>
          <w:b w:val="0"/>
          <w:bCs/>
          <w:sz w:val="21"/>
          <w:szCs w:val="21"/>
          <w:lang w:val="en-US" w:eastAsia="zh-CN"/>
        </w:rPr>
        <w:t>2024年6月3-5日（星期一-星期三）</w:t>
      </w:r>
    </w:p>
    <w:p>
      <w:pPr>
        <w:spacing w:line="400" w:lineRule="exact"/>
        <w:jc w:val="left"/>
        <w:rPr>
          <w:rFonts w:hint="eastAsia"/>
          <w:b w:val="0"/>
          <w:bCs/>
          <w:sz w:val="21"/>
          <w:szCs w:val="21"/>
          <w:lang w:val="en-US" w:eastAsia="zh-CN"/>
        </w:rPr>
      </w:pPr>
      <w:r>
        <w:rPr>
          <w:rFonts w:hint="eastAsia"/>
          <w:b/>
          <w:bCs w:val="0"/>
          <w:sz w:val="21"/>
          <w:szCs w:val="21"/>
          <w:lang w:val="en-US" w:eastAsia="zh-CN"/>
        </w:rPr>
        <w:t>展馆名称：</w:t>
      </w:r>
      <w:r>
        <w:rPr>
          <w:rFonts w:hint="eastAsia"/>
          <w:b w:val="0"/>
          <w:bCs/>
          <w:sz w:val="21"/>
          <w:szCs w:val="21"/>
          <w:lang w:val="en-US" w:eastAsia="zh-CN"/>
        </w:rPr>
        <w:t>上海丨国家会展中心（虹桥） 地址：上海市盈港东路168号</w:t>
      </w:r>
    </w:p>
    <w:p>
      <w:pPr>
        <w:spacing w:line="400" w:lineRule="exact"/>
        <w:jc w:val="left"/>
        <w:rPr>
          <w:rFonts w:hint="eastAsia"/>
          <w:b w:val="0"/>
          <w:bCs/>
          <w:sz w:val="21"/>
          <w:szCs w:val="21"/>
          <w:lang w:val="en-US" w:eastAsia="zh-CN"/>
        </w:rPr>
      </w:pPr>
      <w:r>
        <w:rPr>
          <w:rFonts w:hint="eastAsia"/>
          <w:b/>
          <w:bCs w:val="0"/>
          <w:sz w:val="21"/>
          <w:szCs w:val="21"/>
          <w:lang w:val="en-US" w:eastAsia="zh-CN"/>
        </w:rPr>
        <w:t>主办单位：</w:t>
      </w:r>
      <w:r>
        <w:rPr>
          <w:rFonts w:hint="eastAsia"/>
          <w:b w:val="0"/>
          <w:bCs/>
          <w:sz w:val="21"/>
          <w:szCs w:val="21"/>
          <w:lang w:val="en-US" w:eastAsia="zh-CN"/>
        </w:rPr>
        <w:t>中华环保联合会、中国节能协会、中国仪器仪表行业协会、上海仪器仪表行业协会、上海市环境保护产业协会、上海荷瑞展览有限公司、Informa Markets</w:t>
      </w:r>
    </w:p>
    <w:p>
      <w:pPr>
        <w:spacing w:line="400" w:lineRule="exact"/>
        <w:jc w:val="left"/>
        <w:rPr>
          <w:rFonts w:hint="eastAsia"/>
          <w:b w:val="0"/>
          <w:bCs/>
          <w:sz w:val="21"/>
          <w:szCs w:val="21"/>
          <w:lang w:val="en-US" w:eastAsia="zh-CN"/>
        </w:rPr>
      </w:pPr>
      <w:r>
        <w:rPr>
          <w:rFonts w:hint="eastAsia"/>
          <w:b/>
          <w:bCs w:val="0"/>
          <w:sz w:val="21"/>
          <w:szCs w:val="21"/>
          <w:lang w:val="en-US" w:eastAsia="zh-CN"/>
        </w:rPr>
        <w:t>展会官网：</w:t>
      </w:r>
      <w:r>
        <w:rPr>
          <w:rFonts w:hint="eastAsia"/>
          <w:b w:val="0"/>
          <w:bCs/>
          <w:sz w:val="21"/>
          <w:szCs w:val="21"/>
          <w:lang w:val="en-US" w:eastAsia="zh-CN"/>
        </w:rPr>
        <w:fldChar w:fldCharType="begin"/>
      </w:r>
      <w:r>
        <w:rPr>
          <w:rFonts w:hint="eastAsia"/>
          <w:b w:val="0"/>
          <w:bCs/>
          <w:sz w:val="21"/>
          <w:szCs w:val="21"/>
          <w:lang w:val="en-US" w:eastAsia="zh-CN"/>
        </w:rPr>
        <w:instrText xml:space="preserve"> HYPERLINK "http://www.intenv.com.cn" </w:instrText>
      </w:r>
      <w:r>
        <w:rPr>
          <w:rFonts w:hint="eastAsia"/>
          <w:b w:val="0"/>
          <w:bCs/>
          <w:sz w:val="21"/>
          <w:szCs w:val="21"/>
          <w:lang w:val="en-US" w:eastAsia="zh-CN"/>
        </w:rPr>
        <w:fldChar w:fldCharType="separate"/>
      </w:r>
      <w:r>
        <w:rPr>
          <w:rFonts w:hint="eastAsia"/>
          <w:b w:val="0"/>
          <w:bCs/>
          <w:sz w:val="21"/>
          <w:szCs w:val="21"/>
          <w:lang w:val="en-US" w:eastAsia="zh-CN"/>
        </w:rPr>
        <w:t>www.intenv.com.cn</w:t>
      </w:r>
      <w:r>
        <w:rPr>
          <w:rFonts w:hint="eastAsia"/>
          <w:b w:val="0"/>
          <w:bCs/>
          <w:sz w:val="21"/>
          <w:szCs w:val="21"/>
          <w:lang w:val="en-US" w:eastAsia="zh-CN"/>
        </w:rPr>
        <w:fldChar w:fldCharType="end"/>
      </w:r>
    </w:p>
    <w:p>
      <w:pPr>
        <w:spacing w:line="400" w:lineRule="exact"/>
        <w:jc w:val="left"/>
        <w:rPr>
          <w:rFonts w:hint="eastAsia"/>
          <w:b w:val="0"/>
          <w:bCs/>
          <w:sz w:val="21"/>
          <w:szCs w:val="21"/>
          <w:lang w:val="en-US" w:eastAsia="zh-CN"/>
        </w:rPr>
      </w:pPr>
      <w:r>
        <w:rPr>
          <w:rFonts w:hint="eastAsia"/>
          <w:b/>
          <w:bCs w:val="0"/>
          <w:sz w:val="21"/>
          <w:szCs w:val="21"/>
          <w:lang w:val="en-US" w:eastAsia="zh-CN"/>
        </w:rPr>
        <w:t>展会规模：</w:t>
      </w:r>
      <w:r>
        <w:rPr>
          <w:rFonts w:hint="eastAsia"/>
          <w:b w:val="0"/>
          <w:bCs/>
          <w:sz w:val="21"/>
          <w:szCs w:val="21"/>
          <w:lang w:val="en-US" w:eastAsia="zh-CN"/>
        </w:rPr>
        <w:t>15,000+平方米展示面积、400+品牌展商、25,000+专业观众</w:t>
      </w:r>
    </w:p>
    <w:p>
      <w:pPr>
        <w:spacing w:line="360" w:lineRule="auto"/>
        <w:rPr>
          <w:rFonts w:ascii="微软雅黑" w:hAnsi="微软雅黑" w:eastAsia="微软雅黑"/>
          <w:b/>
          <w:color w:val="FF0000"/>
          <w:sz w:val="21"/>
          <w:szCs w:val="21"/>
        </w:rPr>
      </w:pPr>
      <w:r>
        <w:rPr>
          <w:sz w:val="21"/>
          <w:szCs w:val="21"/>
        </w:rPr>
        <w:drawing>
          <wp:inline distT="0" distB="0" distL="0" distR="0">
            <wp:extent cx="2504440" cy="16700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12748" cy="1675670"/>
                    </a:xfrm>
                    <a:prstGeom prst="rect">
                      <a:avLst/>
                    </a:prstGeom>
                    <a:noFill/>
                    <a:ln>
                      <a:noFill/>
                    </a:ln>
                  </pic:spPr>
                </pic:pic>
              </a:graphicData>
            </a:graphic>
          </wp:inline>
        </w:drawing>
      </w:r>
      <w:r>
        <w:rPr>
          <w:sz w:val="21"/>
          <w:szCs w:val="21"/>
        </w:rPr>
        <w:t xml:space="preserve"> </w:t>
      </w:r>
      <w:r>
        <w:rPr>
          <w:sz w:val="21"/>
          <w:szCs w:val="21"/>
        </w:rPr>
        <w:drawing>
          <wp:inline distT="0" distB="0" distL="0" distR="0">
            <wp:extent cx="2504440" cy="16700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19717" cy="1680317"/>
                    </a:xfrm>
                    <a:prstGeom prst="rect">
                      <a:avLst/>
                    </a:prstGeom>
                    <a:noFill/>
                    <a:ln>
                      <a:noFill/>
                    </a:ln>
                  </pic:spPr>
                </pic:pic>
              </a:graphicData>
            </a:graphic>
          </wp:inline>
        </w:drawing>
      </w:r>
    </w:p>
    <w:p>
      <w:pPr>
        <w:spacing w:line="360" w:lineRule="auto"/>
        <w:rPr>
          <w:rFonts w:ascii="微软雅黑" w:hAnsi="微软雅黑" w:eastAsia="微软雅黑"/>
          <w:b/>
          <w:color w:val="FF0000"/>
          <w:sz w:val="21"/>
          <w:szCs w:val="21"/>
        </w:rPr>
      </w:pPr>
      <w:r>
        <w:rPr>
          <w:rFonts w:ascii="微软雅黑" w:hAnsi="微软雅黑" w:eastAsia="微软雅黑"/>
          <w:b/>
          <w:color w:val="FF0000"/>
          <w:sz w:val="21"/>
          <w:szCs w:val="21"/>
        </w:rPr>
        <w:t>展会</w:t>
      </w:r>
      <w:r>
        <w:rPr>
          <w:rFonts w:hint="eastAsia" w:ascii="微软雅黑" w:hAnsi="微软雅黑" w:eastAsia="微软雅黑"/>
          <w:b/>
          <w:color w:val="FF0000"/>
          <w:sz w:val="21"/>
          <w:szCs w:val="21"/>
        </w:rPr>
        <w:t>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ascii="微软雅黑" w:hAnsi="微软雅黑" w:eastAsia="微软雅黑" w:cs="微软雅黑"/>
          <w:i w:val="0"/>
          <w:iCs w:val="0"/>
          <w:caps w:val="0"/>
          <w:color w:val="333333"/>
          <w:spacing w:val="0"/>
          <w:sz w:val="21"/>
          <w:szCs w:val="21"/>
        </w:rPr>
      </w:pPr>
      <w:r>
        <w:rPr>
          <w:rStyle w:val="11"/>
          <w:rFonts w:hint="eastAsia" w:ascii="微软雅黑" w:hAnsi="微软雅黑" w:eastAsia="微软雅黑" w:cs="微软雅黑"/>
          <w:i w:val="0"/>
          <w:iCs w:val="0"/>
          <w:caps w:val="0"/>
          <w:color w:val="13773E"/>
          <w:spacing w:val="0"/>
          <w:sz w:val="21"/>
          <w:szCs w:val="21"/>
        </w:rPr>
        <w:t>关于上海国际环境监测与过程控制展览会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上海环境监测展（监测与控制）（全称：上海国际环境监测与过程控制展览会）是为积极响应国家生态环境部政策，顺应环保行业智慧化数字化的发展趋势，由中华环保联合会、中国节能协会、中国仪器仪表行业协会、上海仪器仪表行业协会、上海市环境保护产业协会、上海荷瑞展览有限公司、Informa Markets联合主办，上海荷祥会展有限公司协办的一个全面高端智能的商贸技术对接交流平台。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Style w:val="11"/>
          <w:rFonts w:hint="eastAsia" w:ascii="微软雅黑" w:hAnsi="微软雅黑" w:eastAsia="微软雅黑" w:cs="微软雅黑"/>
          <w:i w:val="0"/>
          <w:iCs w:val="0"/>
          <w:caps w:val="0"/>
          <w:color w:val="13773E"/>
          <w:spacing w:val="0"/>
          <w:sz w:val="21"/>
          <w:szCs w:val="21"/>
        </w:rPr>
        <w:t>2024上海环境监测展（监测与控制）</w:t>
      </w:r>
      <w:r>
        <w:rPr>
          <w:rFonts w:hint="eastAsia" w:ascii="微软雅黑" w:hAnsi="微软雅黑" w:eastAsia="微软雅黑" w:cs="微软雅黑"/>
          <w:i w:val="0"/>
          <w:iCs w:val="0"/>
          <w:caps w:val="0"/>
          <w:color w:val="333333"/>
          <w:spacing w:val="0"/>
          <w:sz w:val="21"/>
          <w:szCs w:val="21"/>
        </w:rPr>
        <w:t>将于</w:t>
      </w:r>
      <w:r>
        <w:rPr>
          <w:rStyle w:val="11"/>
          <w:rFonts w:hint="eastAsia" w:ascii="微软雅黑" w:hAnsi="微软雅黑" w:eastAsia="微软雅黑" w:cs="微软雅黑"/>
          <w:i w:val="0"/>
          <w:iCs w:val="0"/>
          <w:caps w:val="0"/>
          <w:color w:val="13773E"/>
          <w:spacing w:val="0"/>
          <w:sz w:val="21"/>
          <w:szCs w:val="21"/>
        </w:rPr>
        <w:t>2024年6月3-5日</w:t>
      </w:r>
      <w:r>
        <w:rPr>
          <w:rFonts w:hint="eastAsia" w:ascii="微软雅黑" w:hAnsi="微软雅黑" w:eastAsia="微软雅黑" w:cs="微软雅黑"/>
          <w:i w:val="0"/>
          <w:iCs w:val="0"/>
          <w:caps w:val="0"/>
          <w:color w:val="333333"/>
          <w:spacing w:val="0"/>
          <w:sz w:val="21"/>
          <w:szCs w:val="21"/>
        </w:rPr>
        <w:t>在</w:t>
      </w:r>
      <w:r>
        <w:rPr>
          <w:rStyle w:val="11"/>
          <w:rFonts w:hint="eastAsia" w:ascii="微软雅黑" w:hAnsi="微软雅黑" w:eastAsia="微软雅黑" w:cs="微软雅黑"/>
          <w:i w:val="0"/>
          <w:iCs w:val="0"/>
          <w:caps w:val="0"/>
          <w:color w:val="13773E"/>
          <w:spacing w:val="0"/>
          <w:sz w:val="21"/>
          <w:szCs w:val="21"/>
        </w:rPr>
        <w:t>上海国家会展中心（虹桥）</w:t>
      </w:r>
      <w:r>
        <w:rPr>
          <w:rFonts w:hint="eastAsia" w:ascii="微软雅黑" w:hAnsi="微软雅黑" w:eastAsia="微软雅黑" w:cs="微软雅黑"/>
          <w:i w:val="0"/>
          <w:iCs w:val="0"/>
          <w:caps w:val="0"/>
          <w:color w:val="333333"/>
          <w:spacing w:val="0"/>
          <w:sz w:val="21"/>
          <w:szCs w:val="21"/>
        </w:rPr>
        <w:t>再度扬帆起航。本届展会将继续扩大品牌优势，并联动上海国际水处理展、上海国际环保展等多展资源，打通工业、市政、环保三大领域，展示规模将突破</w:t>
      </w:r>
      <w:r>
        <w:rPr>
          <w:rStyle w:val="11"/>
          <w:rFonts w:hint="eastAsia" w:ascii="微软雅黑" w:hAnsi="微软雅黑" w:eastAsia="微软雅黑" w:cs="微软雅黑"/>
          <w:i w:val="0"/>
          <w:iCs w:val="0"/>
          <w:caps w:val="0"/>
          <w:color w:val="13773E"/>
          <w:spacing w:val="0"/>
          <w:sz w:val="21"/>
          <w:szCs w:val="21"/>
        </w:rPr>
        <w:t>15,000</w:t>
      </w:r>
      <w:r>
        <w:rPr>
          <w:rFonts w:hint="eastAsia" w:ascii="微软雅黑" w:hAnsi="微软雅黑" w:eastAsia="微软雅黑" w:cs="微软雅黑"/>
          <w:i w:val="0"/>
          <w:iCs w:val="0"/>
          <w:caps w:val="0"/>
          <w:color w:val="333333"/>
          <w:spacing w:val="0"/>
          <w:sz w:val="21"/>
          <w:szCs w:val="21"/>
        </w:rPr>
        <w:t>平米，预计将吸引</w:t>
      </w:r>
      <w:r>
        <w:rPr>
          <w:rStyle w:val="11"/>
          <w:rFonts w:hint="eastAsia" w:ascii="微软雅黑" w:hAnsi="微软雅黑" w:eastAsia="微软雅黑" w:cs="微软雅黑"/>
          <w:i w:val="0"/>
          <w:iCs w:val="0"/>
          <w:caps w:val="0"/>
          <w:color w:val="13773E"/>
          <w:spacing w:val="0"/>
          <w:sz w:val="21"/>
          <w:szCs w:val="21"/>
        </w:rPr>
        <w:t>400</w:t>
      </w:r>
      <w:r>
        <w:rPr>
          <w:rFonts w:hint="eastAsia" w:ascii="微软雅黑" w:hAnsi="微软雅黑" w:eastAsia="微软雅黑" w:cs="微软雅黑"/>
          <w:i w:val="0"/>
          <w:iCs w:val="0"/>
          <w:caps w:val="0"/>
          <w:color w:val="333333"/>
          <w:spacing w:val="0"/>
          <w:sz w:val="21"/>
          <w:szCs w:val="21"/>
        </w:rPr>
        <w:t>多家品牌企业参展，</w:t>
      </w:r>
      <w:r>
        <w:rPr>
          <w:rStyle w:val="11"/>
          <w:rFonts w:hint="eastAsia" w:ascii="微软雅黑" w:hAnsi="微软雅黑" w:eastAsia="微软雅黑" w:cs="微软雅黑"/>
          <w:i w:val="0"/>
          <w:iCs w:val="0"/>
          <w:caps w:val="0"/>
          <w:color w:val="13773E"/>
          <w:spacing w:val="0"/>
          <w:sz w:val="21"/>
          <w:szCs w:val="21"/>
        </w:rPr>
        <w:t>25,000</w:t>
      </w:r>
      <w:r>
        <w:rPr>
          <w:rFonts w:hint="eastAsia" w:ascii="微软雅黑" w:hAnsi="微软雅黑" w:eastAsia="微软雅黑" w:cs="微软雅黑"/>
          <w:i w:val="0"/>
          <w:iCs w:val="0"/>
          <w:caps w:val="0"/>
          <w:color w:val="333333"/>
          <w:spacing w:val="0"/>
          <w:sz w:val="21"/>
          <w:szCs w:val="21"/>
        </w:rPr>
        <w:t>名来自石油、化工、制药、电力能源、锂电等工业终端，以及工程公司、检测机构、监测站、市政单位、水务集团、供排水公司、污水处理厂等买家资源</w:t>
      </w:r>
      <w:r>
        <w:rPr>
          <w:rFonts w:hint="eastAsia" w:ascii="微软雅黑" w:hAnsi="微软雅黑" w:eastAsia="微软雅黑" w:cs="微软雅黑"/>
          <w:i w:val="0"/>
          <w:iCs w:val="0"/>
          <w:caps w:val="0"/>
          <w:color w:val="333333"/>
          <w:spacing w:val="0"/>
          <w:sz w:val="21"/>
          <w:szCs w:val="21"/>
          <w:lang w:val="en-US" w:eastAsia="zh-CN"/>
        </w:rPr>
        <w:t>到场</w:t>
      </w:r>
      <w:r>
        <w:rPr>
          <w:rFonts w:hint="eastAsia" w:ascii="微软雅黑" w:hAnsi="微软雅黑" w:eastAsia="微软雅黑" w:cs="微软雅黑"/>
          <w:i w:val="0"/>
          <w:iCs w:val="0"/>
          <w:caps w:val="0"/>
          <w:color w:val="333333"/>
          <w:spacing w:val="0"/>
          <w:sz w:val="21"/>
          <w:szCs w:val="21"/>
        </w:rPr>
        <w:t>，打造更为专业化的集展示、交流、采购、线上四位一体多模式商贸综合体平台。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与此同时，与新合作伙伴英富曼会展的强强联合，将使展会能够充分对接合作伙伴雄厚的海外资源和国际业务网络，壮大海外展商和海外观众的规模，扩大国内外技术交流渠道，提升展会整体品质以及作为国际商贸窗口的作用，从而进一步提升上海环境监测展（监测与控制）在行业的平台价值和主导地位，为业界长远发展做出更大的贡献。</w:t>
      </w:r>
    </w:p>
    <w:p>
      <w:pPr>
        <w:spacing w:line="360" w:lineRule="auto"/>
        <w:rPr>
          <w:rFonts w:ascii="宋体" w:hAnsi="宋体" w:eastAsia="宋体" w:cs="宋体"/>
          <w:sz w:val="24"/>
          <w:szCs w:val="24"/>
        </w:rPr>
      </w:pPr>
      <w:r>
        <w:rPr>
          <w:rFonts w:hint="eastAsia" w:ascii="微软雅黑" w:hAnsi="微软雅黑" w:eastAsia="微软雅黑"/>
          <w:b/>
          <w:color w:val="FF0000"/>
          <w:sz w:val="21"/>
          <w:szCs w:val="21"/>
          <w:lang w:val="en-US" w:eastAsia="zh-CN"/>
        </w:rPr>
        <w:t>品牌展商</w:t>
      </w:r>
    </w:p>
    <w:p>
      <w:pPr>
        <w:spacing w:line="360" w:lineRule="auto"/>
        <w:jc w:val="right"/>
        <w:rPr>
          <w:rFonts w:ascii="宋体" w:hAnsi="宋体" w:eastAsia="宋体" w:cs="宋体"/>
          <w:sz w:val="24"/>
          <w:szCs w:val="24"/>
        </w:rPr>
      </w:pPr>
      <w:r>
        <w:rPr>
          <w:rFonts w:ascii="宋体" w:hAnsi="宋体" w:eastAsia="宋体" w:cs="宋体"/>
          <w:sz w:val="24"/>
          <w:szCs w:val="24"/>
        </w:rPr>
        <w:drawing>
          <wp:inline distT="0" distB="0" distL="114300" distR="114300">
            <wp:extent cx="5204460" cy="1650365"/>
            <wp:effectExtent l="0" t="0" r="15240" b="6985"/>
            <wp:docPr id="2" name="图片 1" descr="D:\Kiki 工作\企业微信截图_16977861492314.png企业微信截图_1697786149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Kiki 工作\企业微信截图_16977861492314.png企业微信截图_16977861492314"/>
                    <pic:cNvPicPr>
                      <a:picLocks noChangeAspect="1"/>
                    </pic:cNvPicPr>
                  </pic:nvPicPr>
                  <pic:blipFill>
                    <a:blip r:embed="rId8"/>
                    <a:srcRect/>
                    <a:stretch>
                      <a:fillRect/>
                    </a:stretch>
                  </pic:blipFill>
                  <pic:spPr>
                    <a:xfrm>
                      <a:off x="0" y="0"/>
                      <a:ext cx="5204460" cy="1650365"/>
                    </a:xfrm>
                    <a:prstGeom prst="rect">
                      <a:avLst/>
                    </a:prstGeom>
                    <a:noFill/>
                    <a:ln w="9525">
                      <a:noFill/>
                    </a:ln>
                  </pic:spPr>
                </pic:pic>
              </a:graphicData>
            </a:graphic>
          </wp:inline>
        </w:drawing>
      </w:r>
    </w:p>
    <w:p>
      <w:pPr>
        <w:spacing w:line="360" w:lineRule="auto"/>
        <w:jc w:val="right"/>
        <w:rPr>
          <w:rFonts w:hint="default" w:ascii="微软雅黑" w:hAnsi="微软雅黑" w:eastAsia="微软雅黑"/>
          <w:b w:val="0"/>
          <w:bCs/>
          <w:color w:val="auto"/>
          <w:sz w:val="21"/>
          <w:szCs w:val="21"/>
          <w:lang w:val="en-US" w:eastAsia="zh-CN"/>
        </w:rPr>
      </w:pPr>
      <w:r>
        <w:rPr>
          <w:rFonts w:hint="eastAsia" w:ascii="微软雅黑" w:hAnsi="微软雅黑" w:eastAsia="微软雅黑"/>
          <w:b w:val="0"/>
          <w:bCs/>
          <w:color w:val="auto"/>
          <w:sz w:val="21"/>
          <w:szCs w:val="21"/>
          <w:lang w:val="en-US" w:eastAsia="zh-CN"/>
        </w:rPr>
        <w:t>*以上仅为部分展商展示</w:t>
      </w:r>
    </w:p>
    <w:p>
      <w:pPr>
        <w:spacing w:line="360" w:lineRule="auto"/>
        <w:rPr>
          <w:rFonts w:ascii="微软雅黑" w:hAnsi="微软雅黑" w:eastAsia="微软雅黑"/>
          <w:b/>
          <w:color w:val="FF0000"/>
          <w:sz w:val="21"/>
          <w:szCs w:val="21"/>
        </w:rPr>
      </w:pPr>
      <w:r>
        <w:rPr>
          <w:rFonts w:hint="eastAsia" w:ascii="微软雅黑" w:hAnsi="微软雅黑" w:eastAsia="微软雅黑"/>
          <w:b/>
          <w:color w:val="FF0000"/>
          <w:sz w:val="21"/>
          <w:szCs w:val="21"/>
        </w:rPr>
        <w:t>展会亮点：</w:t>
      </w:r>
    </w:p>
    <w:p>
      <w:pPr>
        <w:pStyle w:val="8"/>
        <w:pBdr>
          <w:bottom w:val="double" w:color="DCDCDC" w:sz="2" w:space="0"/>
        </w:pBdr>
        <w:spacing w:before="0" w:beforeAutospacing="0" w:after="0" w:afterAutospacing="0" w:line="432" w:lineRule="atLeast"/>
        <w:outlineLvl w:val="3"/>
        <w:rPr>
          <w:rFonts w:ascii="微软雅黑" w:hAnsi="微软雅黑" w:eastAsia="微软雅黑"/>
          <w:color w:val="242424"/>
          <w:sz w:val="21"/>
          <w:szCs w:val="21"/>
        </w:rPr>
      </w:pPr>
      <w:r>
        <w:rPr>
          <w:rStyle w:val="11"/>
          <w:rFonts w:hint="eastAsia" w:ascii="微软雅黑" w:hAnsi="微软雅黑" w:eastAsia="微软雅黑"/>
          <w:color w:val="242424"/>
          <w:sz w:val="21"/>
          <w:szCs w:val="21"/>
        </w:rPr>
        <w:t>亮点1</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Style w:val="11"/>
          <w:rFonts w:ascii="微软雅黑" w:hAnsi="微软雅黑" w:eastAsia="微软雅黑" w:cs="微软雅黑"/>
          <w:i w:val="0"/>
          <w:iCs w:val="0"/>
          <w:caps w:val="0"/>
          <w:color w:val="13773E"/>
          <w:spacing w:val="0"/>
          <w:sz w:val="21"/>
          <w:szCs w:val="21"/>
        </w:rPr>
        <w:t>重要省市</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 xml:space="preserve">监测站 </w:t>
      </w:r>
      <w:r>
        <w:rPr>
          <w:rStyle w:val="11"/>
          <w:rFonts w:ascii="微软雅黑" w:hAnsi="微软雅黑" w:eastAsia="微软雅黑" w:cs="微软雅黑"/>
          <w:i w:val="0"/>
          <w:iCs w:val="0"/>
          <w:caps w:val="0"/>
          <w:color w:val="13773E"/>
          <w:spacing w:val="0"/>
          <w:sz w:val="21"/>
          <w:szCs w:val="21"/>
        </w:rPr>
        <w:t>+ 华东六省一市</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供排水单位汇聚</w:t>
      </w:r>
      <w:r>
        <w:rPr>
          <w:rStyle w:val="11"/>
          <w:rFonts w:ascii="微软雅黑" w:hAnsi="微软雅黑" w:eastAsia="微软雅黑" w:cs="微软雅黑"/>
          <w:i w:val="0"/>
          <w:iCs w:val="0"/>
          <w:caps w:val="0"/>
          <w:color w:val="13773E"/>
          <w:spacing w:val="0"/>
          <w:sz w:val="21"/>
          <w:szCs w:val="21"/>
        </w:rPr>
        <w:t>；</w:t>
      </w:r>
    </w:p>
    <w:p>
      <w:pPr>
        <w:pStyle w:val="8"/>
        <w:pBdr>
          <w:bottom w:val="double" w:color="DCDCDC" w:sz="2" w:space="0"/>
        </w:pBdr>
        <w:spacing w:before="0" w:beforeAutospacing="0" w:after="0" w:afterAutospacing="0" w:line="432" w:lineRule="atLeast"/>
        <w:outlineLvl w:val="3"/>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Style w:val="11"/>
          <w:rFonts w:hint="eastAsia" w:ascii="微软雅黑" w:hAnsi="微软雅黑" w:eastAsia="微软雅黑"/>
          <w:color w:val="242424"/>
          <w:sz w:val="21"/>
          <w:szCs w:val="21"/>
        </w:rPr>
        <w:t>亮点2</w:t>
      </w:r>
      <w:r>
        <w:rPr>
          <w:rStyle w:val="11"/>
          <w:rFonts w:hint="eastAsia" w:ascii="微软雅黑" w:hAnsi="微软雅黑" w:eastAsia="微软雅黑"/>
          <w:color w:val="242424"/>
          <w:sz w:val="21"/>
          <w:szCs w:val="21"/>
          <w:lang w:eastAsia="zh-CN"/>
        </w:rPr>
        <w:t>：</w:t>
      </w:r>
      <w:r>
        <w:rPr>
          <w:rStyle w:val="11"/>
          <w:rFonts w:ascii="微软雅黑" w:hAnsi="微软雅黑" w:eastAsia="微软雅黑" w:cs="微软雅黑"/>
          <w:i w:val="0"/>
          <w:iCs w:val="0"/>
          <w:caps w:val="0"/>
          <w:color w:val="13773E"/>
          <w:spacing w:val="0"/>
          <w:sz w:val="21"/>
          <w:szCs w:val="21"/>
        </w:rPr>
        <w:t>海外市场</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再度复苏</w:t>
      </w:r>
      <w:r>
        <w:rPr>
          <w:rStyle w:val="11"/>
          <w:rFonts w:ascii="微软雅黑" w:hAnsi="微软雅黑" w:eastAsia="微软雅黑" w:cs="微软雅黑"/>
          <w:i w:val="0"/>
          <w:iCs w:val="0"/>
          <w:caps w:val="0"/>
          <w:color w:val="13773E"/>
          <w:spacing w:val="0"/>
          <w:sz w:val="21"/>
          <w:szCs w:val="21"/>
        </w:rPr>
        <w:t>，</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国际买家数量预计</w:t>
      </w:r>
      <w:r>
        <w:rPr>
          <w:rStyle w:val="11"/>
          <w:rFonts w:ascii="微软雅黑" w:hAnsi="微软雅黑" w:eastAsia="微软雅黑" w:cs="微软雅黑"/>
          <w:i w:val="0"/>
          <w:iCs w:val="0"/>
          <w:caps w:val="0"/>
          <w:color w:val="13773E"/>
          <w:spacing w:val="0"/>
          <w:sz w:val="21"/>
          <w:szCs w:val="21"/>
        </w:rPr>
        <w:t>突破8000</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人；</w:t>
      </w:r>
    </w:p>
    <w:p>
      <w:pPr>
        <w:pStyle w:val="8"/>
        <w:pBdr>
          <w:bottom w:val="double" w:color="DCDCDC" w:sz="2" w:space="0"/>
        </w:pBdr>
        <w:spacing w:before="0" w:beforeAutospacing="0" w:after="0" w:afterAutospacing="0" w:line="432" w:lineRule="atLeast"/>
        <w:outlineLvl w:val="3"/>
        <w:rPr>
          <w:rFonts w:ascii="微软雅黑" w:hAnsi="微软雅黑" w:eastAsia="微软雅黑"/>
          <w:color w:val="242424"/>
          <w:sz w:val="21"/>
          <w:szCs w:val="21"/>
        </w:rPr>
      </w:pPr>
      <w:r>
        <w:rPr>
          <w:rStyle w:val="11"/>
          <w:rFonts w:hint="eastAsia" w:ascii="微软雅黑" w:hAnsi="微软雅黑" w:eastAsia="微软雅黑"/>
          <w:color w:val="242424"/>
          <w:sz w:val="21"/>
          <w:szCs w:val="21"/>
        </w:rPr>
        <w:t>亮点3</w:t>
      </w:r>
      <w:r>
        <w:rPr>
          <w:rStyle w:val="11"/>
          <w:rFonts w:hint="eastAsia" w:ascii="微软雅黑" w:hAnsi="微软雅黑" w:eastAsia="微软雅黑"/>
          <w:color w:val="242424"/>
          <w:sz w:val="21"/>
          <w:szCs w:val="21"/>
          <w:lang w:eastAsia="zh-CN"/>
        </w:rPr>
        <w:t>：</w:t>
      </w:r>
      <w:r>
        <w:rPr>
          <w:rStyle w:val="11"/>
          <w:rFonts w:ascii="微软雅黑" w:hAnsi="微软雅黑" w:eastAsia="微软雅黑" w:cs="微软雅黑"/>
          <w:i w:val="0"/>
          <w:iCs w:val="0"/>
          <w:caps w:val="0"/>
          <w:color w:val="13773E"/>
          <w:spacing w:val="0"/>
          <w:sz w:val="21"/>
          <w:szCs w:val="21"/>
        </w:rPr>
        <w:t>碳水质在线监测/地表水监测/水质采样/水文监测</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品牌齐聚现场</w:t>
      </w:r>
      <w:r>
        <w:rPr>
          <w:rStyle w:val="11"/>
          <w:rFonts w:ascii="微软雅黑" w:hAnsi="微软雅黑" w:eastAsia="微软雅黑" w:cs="微软雅黑"/>
          <w:i w:val="0"/>
          <w:iCs w:val="0"/>
          <w:caps w:val="0"/>
          <w:color w:val="13773E"/>
          <w:spacing w:val="0"/>
          <w:sz w:val="21"/>
          <w:szCs w:val="21"/>
        </w:rPr>
        <w:t>；</w:t>
      </w:r>
    </w:p>
    <w:p>
      <w:pPr>
        <w:pStyle w:val="8"/>
        <w:pBdr>
          <w:bottom w:val="double" w:color="DCDCDC" w:sz="2" w:space="0"/>
        </w:pBdr>
        <w:spacing w:before="0" w:beforeAutospacing="0" w:after="0" w:afterAutospacing="0" w:line="432" w:lineRule="atLeast"/>
        <w:outlineLvl w:val="3"/>
        <w:rPr>
          <w:rFonts w:ascii="微软雅黑" w:hAnsi="微软雅黑" w:eastAsia="微软雅黑"/>
          <w:color w:val="242424"/>
          <w:sz w:val="21"/>
          <w:szCs w:val="21"/>
        </w:rPr>
      </w:pPr>
      <w:r>
        <w:rPr>
          <w:rStyle w:val="11"/>
          <w:rFonts w:hint="eastAsia" w:ascii="微软雅黑" w:hAnsi="微软雅黑" w:eastAsia="微软雅黑"/>
          <w:color w:val="242424"/>
          <w:sz w:val="21"/>
          <w:szCs w:val="21"/>
        </w:rPr>
        <w:t>亮点4</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Style w:val="11"/>
          <w:rFonts w:ascii="微软雅黑" w:hAnsi="微软雅黑" w:eastAsia="微软雅黑" w:cs="微软雅黑"/>
          <w:i w:val="0"/>
          <w:iCs w:val="0"/>
          <w:caps w:val="0"/>
          <w:color w:val="13773E"/>
          <w:spacing w:val="0"/>
          <w:sz w:val="21"/>
          <w:szCs w:val="21"/>
        </w:rPr>
        <w:t>大气监测/VOCs在线监测/污染源监测</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解决方案集中展示</w:t>
      </w:r>
      <w:r>
        <w:rPr>
          <w:rStyle w:val="11"/>
          <w:rFonts w:ascii="微软雅黑" w:hAnsi="微软雅黑" w:eastAsia="微软雅黑" w:cs="微软雅黑"/>
          <w:i w:val="0"/>
          <w:iCs w:val="0"/>
          <w:caps w:val="0"/>
          <w:color w:val="13773E"/>
          <w:spacing w:val="0"/>
          <w:sz w:val="21"/>
          <w:szCs w:val="21"/>
        </w:rPr>
        <w:t>；</w:t>
      </w:r>
    </w:p>
    <w:p>
      <w:pPr>
        <w:pStyle w:val="8"/>
        <w:pBdr>
          <w:bottom w:val="double" w:color="DCDCDC" w:sz="2" w:space="0"/>
        </w:pBdr>
        <w:spacing w:before="0" w:beforeAutospacing="0" w:after="0" w:afterAutospacing="0" w:line="432" w:lineRule="atLeast"/>
        <w:outlineLvl w:val="3"/>
        <w:rPr>
          <w:rStyle w:val="11"/>
          <w:rFonts w:ascii="微软雅黑" w:hAnsi="微软雅黑" w:eastAsia="微软雅黑" w:cs="微软雅黑"/>
          <w:i w:val="0"/>
          <w:iCs w:val="0"/>
          <w:caps w:val="0"/>
          <w:color w:val="13773E"/>
          <w:spacing w:val="0"/>
          <w:sz w:val="21"/>
          <w:szCs w:val="21"/>
        </w:rPr>
      </w:pPr>
      <w:r>
        <w:rPr>
          <w:rStyle w:val="11"/>
          <w:rFonts w:hint="eastAsia" w:ascii="微软雅黑" w:hAnsi="微软雅黑" w:eastAsia="微软雅黑"/>
          <w:color w:val="242424"/>
          <w:sz w:val="21"/>
          <w:szCs w:val="21"/>
        </w:rPr>
        <w:t>亮点5</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Style w:val="11"/>
          <w:rFonts w:ascii="微软雅黑" w:hAnsi="微软雅黑" w:eastAsia="微软雅黑" w:cs="微软雅黑"/>
          <w:i w:val="0"/>
          <w:iCs w:val="0"/>
          <w:caps w:val="0"/>
          <w:color w:val="13773E"/>
          <w:spacing w:val="0"/>
          <w:sz w:val="21"/>
          <w:szCs w:val="21"/>
        </w:rPr>
        <w:t>过程控制设备全流程</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凸显智慧计量趋势；</w:t>
      </w:r>
    </w:p>
    <w:p>
      <w:pPr>
        <w:pStyle w:val="8"/>
        <w:pBdr>
          <w:bottom w:val="double" w:color="DCDCDC" w:sz="2" w:space="0"/>
        </w:pBdr>
        <w:spacing w:before="0" w:beforeAutospacing="0" w:after="0" w:afterAutospacing="0" w:line="432" w:lineRule="atLeast"/>
        <w:outlineLvl w:val="3"/>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Style w:val="11"/>
          <w:rFonts w:hint="eastAsia" w:ascii="微软雅黑" w:hAnsi="微软雅黑" w:eastAsia="微软雅黑"/>
          <w:color w:val="242424"/>
          <w:sz w:val="21"/>
          <w:szCs w:val="21"/>
        </w:rPr>
        <w:t>亮点6</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联合世环会节能环保产业优势</w:t>
      </w:r>
      <w:r>
        <w:rPr>
          <w:rStyle w:val="11"/>
          <w:rFonts w:ascii="微软雅黑" w:hAnsi="微软雅黑" w:eastAsia="微软雅黑" w:cs="微软雅黑"/>
          <w:i w:val="0"/>
          <w:iCs w:val="0"/>
          <w:caps w:val="0"/>
          <w:color w:val="13773E"/>
          <w:spacing w:val="0"/>
          <w:sz w:val="21"/>
          <w:szCs w:val="21"/>
        </w:rPr>
        <w:t>带动新能源/高端装备制造/生物制药/新材料</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等国家战略新兴产业用户面对面接洽；</w:t>
      </w:r>
    </w:p>
    <w:p>
      <w:pPr>
        <w:pStyle w:val="8"/>
        <w:pBdr>
          <w:bottom w:val="double" w:color="DCDCDC" w:sz="2" w:space="0"/>
        </w:pBdr>
        <w:spacing w:before="0" w:beforeAutospacing="0" w:after="0" w:afterAutospacing="0" w:line="432" w:lineRule="atLeast"/>
        <w:outlineLvl w:val="3"/>
        <w:rPr>
          <w:rStyle w:val="11"/>
          <w:rFonts w:ascii="微软雅黑" w:hAnsi="微软雅黑" w:eastAsia="微软雅黑" w:cs="微软雅黑"/>
          <w:i w:val="0"/>
          <w:iCs w:val="0"/>
          <w:caps w:val="0"/>
          <w:color w:val="13773E"/>
          <w:spacing w:val="0"/>
          <w:sz w:val="21"/>
          <w:szCs w:val="21"/>
        </w:rPr>
      </w:pPr>
      <w:r>
        <w:rPr>
          <w:rStyle w:val="11"/>
          <w:rFonts w:hint="eastAsia" w:ascii="微软雅黑" w:hAnsi="微软雅黑" w:eastAsia="微软雅黑"/>
          <w:color w:val="242424"/>
          <w:sz w:val="21"/>
          <w:szCs w:val="21"/>
        </w:rPr>
        <w:t>亮点7</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Style w:val="11"/>
          <w:rFonts w:ascii="微软雅黑" w:hAnsi="微软雅黑" w:eastAsia="微软雅黑" w:cs="微软雅黑"/>
          <w:i w:val="0"/>
          <w:iCs w:val="0"/>
          <w:caps w:val="0"/>
          <w:color w:val="13773E"/>
          <w:spacing w:val="0"/>
          <w:sz w:val="21"/>
          <w:szCs w:val="21"/>
        </w:rPr>
        <w:t>线下论坛、直播、路演、对接会</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等生态链资源全覆盖；</w:t>
      </w:r>
    </w:p>
    <w:p>
      <w:pPr>
        <w:pStyle w:val="8"/>
        <w:pBdr>
          <w:bottom w:val="double" w:color="DCDCDC" w:sz="2" w:space="0"/>
        </w:pBdr>
        <w:spacing w:before="0" w:beforeAutospacing="0" w:after="0" w:afterAutospacing="0" w:line="432" w:lineRule="atLeast"/>
        <w:outlineLvl w:val="3"/>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Style w:val="11"/>
          <w:rFonts w:hint="eastAsia" w:ascii="微软雅黑" w:hAnsi="微软雅黑" w:eastAsia="微软雅黑"/>
          <w:color w:val="242424"/>
          <w:sz w:val="21"/>
          <w:szCs w:val="21"/>
        </w:rPr>
        <w:t>亮点8</w:t>
      </w:r>
      <w:r>
        <w:rPr>
          <w:rStyle w:val="11"/>
          <w:rFonts w:hint="eastAsia" w:ascii="微软雅黑" w:hAnsi="微软雅黑" w:eastAsia="微软雅黑"/>
          <w:color w:val="242424"/>
          <w:sz w:val="21"/>
          <w:szCs w:val="21"/>
          <w:lang w:eastAsia="zh-CN"/>
        </w:rPr>
        <w:t>：</w:t>
      </w:r>
      <w:r>
        <w:rPr>
          <w:rFonts w:hint="eastAsia" w:ascii="微软雅黑" w:hAnsi="微软雅黑" w:eastAsia="微软雅黑"/>
          <w:color w:val="242424"/>
          <w:sz w:val="21"/>
          <w:szCs w:val="21"/>
        </w:rPr>
        <w:t> </w:t>
      </w:r>
      <w:r>
        <w:rPr>
          <w:rStyle w:val="11"/>
          <w:rFonts w:ascii="微软雅黑" w:hAnsi="微软雅黑" w:eastAsia="微软雅黑" w:cs="微软雅黑"/>
          <w:i w:val="0"/>
          <w:iCs w:val="0"/>
          <w:caps w:val="0"/>
          <w:color w:val="13773E"/>
          <w:spacing w:val="0"/>
          <w:sz w:val="21"/>
          <w:szCs w:val="21"/>
        </w:rPr>
        <w:t>世界</w:t>
      </w:r>
      <w:r>
        <w:rPr>
          <w:rStyle w:val="11"/>
          <w:rFonts w:hint="eastAsia" w:ascii="微软雅黑" w:hAnsi="微软雅黑" w:eastAsia="微软雅黑" w:cs="微软雅黑"/>
          <w:i w:val="0"/>
          <w:iCs w:val="0"/>
          <w:caps w:val="0"/>
          <w:color w:val="13773E"/>
          <w:spacing w:val="0"/>
          <w:sz w:val="21"/>
          <w:szCs w:val="21"/>
          <w:lang w:val="en-US" w:eastAsia="zh-CN"/>
        </w:rPr>
        <w:t>知名</w:t>
      </w: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展览集团英富曼会展带来的海外观众和国际业务资源加持。</w:t>
      </w:r>
    </w:p>
    <w:p>
      <w:pPr>
        <w:spacing w:line="360" w:lineRule="auto"/>
        <w:rPr>
          <w:rFonts w:ascii="微软雅黑" w:hAnsi="微软雅黑" w:eastAsia="微软雅黑"/>
          <w:b/>
          <w:color w:val="FF0000"/>
          <w:sz w:val="21"/>
          <w:szCs w:val="21"/>
        </w:rPr>
      </w:pPr>
      <w:r>
        <w:rPr>
          <w:rFonts w:ascii="微软雅黑" w:hAnsi="微软雅黑" w:eastAsia="微软雅黑"/>
          <w:b/>
          <w:color w:val="FF0000"/>
          <w:sz w:val="21"/>
          <w:szCs w:val="21"/>
        </w:rPr>
        <w:t>展品范围</w:t>
      </w:r>
      <w:r>
        <w:rPr>
          <w:rFonts w:hint="eastAsia" w:ascii="微软雅黑" w:hAnsi="微软雅黑" w:eastAsia="微软雅黑"/>
          <w:b/>
          <w:color w:val="FF0000"/>
          <w:sz w:val="21"/>
          <w:szCs w:val="21"/>
        </w:rPr>
        <w:t>：</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环境监测检测设备</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水质监测、烟气监测、辐射监测、无人载具监测、生态监测、噪声检测与控制、土污染检测、 扬尘监测、噪声检测与控制、藻类监测、污染源监测、vocs监测、固废检测分析、自动化监测系统与设备、遥感监测</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过程控制及检验检测仪表</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流量计、物位仪、液位计、电磁阀、传感器、转换器、压力变送器、温度变送器、气体变送器、自动化控制系统</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智慧水务管理技术及系统</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水务远程监视、智慧管网一体化、水务信息化、水表监测技术及设备、智能水表、管网漏损检测技术</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智慧物联系统</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智慧大数据信息平台、云技术服务、物联网技术与系统、工业物联网、网格化监测与智能化平台、嵌入式系统</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实验室分析设备</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采样仪、光谱仪、质谱仪、测量仪、色谱仪、移动实验舱、样品前处理、实验室分析仪、在线分析仪</w:t>
      </w:r>
    </w:p>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节能监测/计量仪表</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能耗监测、精密测量系统、碳排放监测、热像仪、室气体排放数据信息系统、智能表具</w:t>
      </w:r>
    </w:p>
    <w:p>
      <w:pPr>
        <w:spacing w:line="360" w:lineRule="auto"/>
        <w:rPr>
          <w:rFonts w:hint="eastAsia" w:ascii="微软雅黑" w:hAnsi="微软雅黑" w:eastAsia="微软雅黑" w:cstheme="minorBidi"/>
          <w:b/>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bCs w:val="0"/>
          <w:color w:val="000000" w:themeColor="text1"/>
          <w:kern w:val="2"/>
          <w:sz w:val="21"/>
          <w:szCs w:val="21"/>
          <w:lang w:val="en-US" w:eastAsia="zh-CN" w:bidi="ar-SA"/>
          <w14:textFill>
            <w14:solidFill>
              <w14:schemeClr w14:val="tx1"/>
            </w14:solidFill>
          </w14:textFill>
        </w:rPr>
        <w:t>第三方环境服务</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环保业务咨询、环境调查与风险评估、项目运维监管、环保管家式服务、环境污染物检测</w:t>
      </w:r>
    </w:p>
    <w:p>
      <w:pPr>
        <w:spacing w:line="360" w:lineRule="auto"/>
        <w:rPr>
          <w:rFonts w:hint="eastAsia" w:ascii="微软雅黑" w:hAnsi="微软雅黑" w:eastAsia="微软雅黑" w:cstheme="minorBidi"/>
          <w:b/>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bCs w:val="0"/>
          <w:color w:val="000000" w:themeColor="text1"/>
          <w:kern w:val="2"/>
          <w:sz w:val="21"/>
          <w:szCs w:val="21"/>
          <w:lang w:val="en-US" w:eastAsia="zh-CN" w:bidi="ar-SA"/>
          <w14:textFill>
            <w14:solidFill>
              <w14:schemeClr w14:val="tx1"/>
            </w14:solidFill>
          </w14:textFill>
        </w:rPr>
        <w:t>智慧水文水利监测设备</w:t>
      </w:r>
    </w:p>
    <w:p>
      <w:pPr>
        <w:spacing w:line="360" w:lineRule="auto"/>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Cs/>
          <w:color w:val="000000" w:themeColor="text1"/>
          <w:kern w:val="2"/>
          <w:sz w:val="21"/>
          <w:szCs w:val="21"/>
          <w:lang w:val="en-US" w:eastAsia="zh-CN" w:bidi="ar-SA"/>
          <w14:textFill>
            <w14:solidFill>
              <w14:schemeClr w14:val="tx1"/>
            </w14:solidFill>
          </w14:textFill>
        </w:rPr>
        <w:t>水文监测、红外测距仪、水下机器人、地下水/地表水监测、流速仪、5G技术、水质自动采样器、水情预报、云平台</w:t>
      </w:r>
    </w:p>
    <w:p>
      <w:pPr>
        <w:spacing w:line="360" w:lineRule="auto"/>
        <w:rPr>
          <w:rFonts w:hint="eastAsia" w:ascii="微软雅黑" w:hAnsi="微软雅黑" w:eastAsia="微软雅黑"/>
          <w:sz w:val="21"/>
          <w:szCs w:val="21"/>
        </w:rPr>
      </w:pPr>
      <w:r>
        <w:rPr>
          <w:rFonts w:hint="eastAsia" w:ascii="微软雅黑" w:hAnsi="微软雅黑" w:eastAsia="微软雅黑"/>
          <w:sz w:val="21"/>
          <w:szCs w:val="21"/>
        </w:rPr>
        <w:t>更多会议信息请关注微信公众号“上海</w:t>
      </w:r>
      <w:r>
        <w:rPr>
          <w:rFonts w:hint="eastAsia" w:ascii="微软雅黑" w:hAnsi="微软雅黑" w:eastAsia="微软雅黑"/>
          <w:sz w:val="21"/>
          <w:szCs w:val="21"/>
          <w:lang w:val="en-US" w:eastAsia="zh-CN"/>
        </w:rPr>
        <w:t>环境监测</w:t>
      </w:r>
      <w:r>
        <w:rPr>
          <w:rFonts w:hint="eastAsia" w:ascii="微软雅黑" w:hAnsi="微软雅黑" w:eastAsia="微软雅黑"/>
          <w:sz w:val="21"/>
          <w:szCs w:val="21"/>
        </w:rPr>
        <w:t>展I</w:t>
      </w:r>
      <w:r>
        <w:rPr>
          <w:rFonts w:ascii="微软雅黑" w:hAnsi="微软雅黑" w:eastAsia="微软雅黑"/>
          <w:sz w:val="21"/>
          <w:szCs w:val="21"/>
        </w:rPr>
        <w:t>NTENV</w:t>
      </w:r>
      <w:r>
        <w:rPr>
          <w:rFonts w:hint="eastAsia" w:ascii="微软雅黑" w:hAnsi="微软雅黑" w:eastAsia="微软雅黑"/>
          <w:sz w:val="21"/>
          <w:szCs w:val="21"/>
        </w:rPr>
        <w:t xml:space="preserve">” </w:t>
      </w:r>
    </w:p>
    <w:p>
      <w:pPr>
        <w:spacing w:line="360" w:lineRule="auto"/>
        <w:rPr>
          <w:rFonts w:hint="eastAsia" w:ascii="微软雅黑" w:hAnsi="微软雅黑" w:eastAsia="微软雅黑"/>
          <w:sz w:val="21"/>
          <w:szCs w:val="21"/>
          <w:lang w:eastAsia="zh-CN"/>
        </w:rPr>
      </w:pPr>
    </w:p>
    <w:p>
      <w:pPr>
        <w:spacing w:line="360" w:lineRule="auto"/>
        <w:rPr>
          <w:rFonts w:ascii="微软雅黑" w:hAnsi="微软雅黑" w:eastAsia="微软雅黑"/>
          <w:b/>
          <w:bCs/>
          <w:sz w:val="21"/>
          <w:szCs w:val="21"/>
        </w:rPr>
      </w:pPr>
      <w:r>
        <w:rPr>
          <w:rFonts w:hint="eastAsia" w:ascii="微软雅黑" w:hAnsi="微软雅黑" w:eastAsia="微软雅黑"/>
          <w:b/>
          <w:bCs/>
          <w:sz w:val="21"/>
          <w:szCs w:val="21"/>
        </w:rPr>
        <w:t>关于主办方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rPr>
        <w:t>【上海荷瑞展览有限公司】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上海荷瑞展览有限公司（简称：荷瑞展览）作为一家历时十余载，拥有丰富筹划和组织国内外专业品牌展览会经验的主办机构，荷瑞展览始终秉承工匠精神，专注于B2B领域，致力于打造卓越的国际性环境商贸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rPr>
        <w:t>【英富曼会展】</w:t>
      </w:r>
      <w:bookmarkStart w:id="1" w:name="_GoBack"/>
      <w:bookmarkEnd w:id="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InformaMarkets为不同行业与专业市场打造实现交易、创新和发展的平台。通过举办线下品牌展会、提供精准的数字服务和切实可行的数据解决方案，为全球客户和合作伙伴提供参与、体验和开展业务的机会。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rPr>
        <w:t>【世环通】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世环通是专注于节能减排与低碳环保的绿色环境产业采购服务平台，连接20万家优质供应商和百万专业采购商。采购商通过世环通网站和微信小程序可随时了解供应商的产品图文、产品手册、企业资质、产品解说视频等一系列深度资料，并能一键快速预约会谈。每年通过与世环通无缝衔接的世环会系列大型展会，采购商不但能同4,000多家优选的品牌供应商直接面对面交流，零距离体验产品实物，还能在第一时间获悉新品发布、行业直播、线下会议活动等高价值信息，为供应商储备和采购评估作更充足准备。世环通致力于为绿色环境产业链的采购方提供优惠、省力、可靠的采购流程服务。</w:t>
      </w:r>
    </w:p>
    <w:p>
      <w:pPr>
        <w:spacing w:line="360" w:lineRule="auto"/>
        <w:rPr>
          <w:rFonts w:ascii="微软雅黑" w:hAnsi="微软雅黑" w:eastAsia="微软雅黑"/>
          <w:b/>
          <w:bCs/>
          <w:sz w:val="21"/>
          <w:szCs w:val="21"/>
        </w:rPr>
      </w:pPr>
      <w:r>
        <w:rPr>
          <w:rFonts w:hint="eastAsia" w:ascii="微软雅黑" w:hAnsi="微软雅黑" w:eastAsia="微软雅黑"/>
          <w:b/>
          <w:bCs/>
          <w:sz w:val="21"/>
          <w:szCs w:val="21"/>
        </w:rPr>
        <w:t>联系方式</w:t>
      </w:r>
    </w:p>
    <w:p>
      <w:pPr>
        <w:spacing w:line="360" w:lineRule="auto"/>
        <w:rPr>
          <w:rFonts w:ascii="微软雅黑" w:hAnsi="微软雅黑" w:eastAsia="微软雅黑"/>
          <w:sz w:val="21"/>
          <w:szCs w:val="21"/>
        </w:rPr>
      </w:pPr>
      <w:r>
        <w:rPr>
          <w:rFonts w:hint="eastAsia" w:ascii="微软雅黑" w:hAnsi="微软雅黑" w:eastAsia="微软雅黑"/>
          <w:b/>
          <w:bCs/>
          <w:sz w:val="21"/>
          <w:szCs w:val="21"/>
        </w:rPr>
        <w:t>参展咨询</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 xml:space="preserve">马先生 </w:t>
      </w:r>
      <w:r>
        <w:rPr>
          <w:rFonts w:hint="eastAsia" w:ascii="微软雅黑" w:hAnsi="微软雅黑" w:eastAsia="微软雅黑"/>
          <w:sz w:val="21"/>
          <w:szCs w:val="21"/>
        </w:rPr>
        <w:t>+</w:t>
      </w:r>
      <w:r>
        <w:rPr>
          <w:rFonts w:ascii="微软雅黑" w:hAnsi="微软雅黑" w:eastAsia="微软雅黑"/>
          <w:sz w:val="21"/>
          <w:szCs w:val="21"/>
        </w:rPr>
        <w:t>86-21-33231316</w:t>
      </w:r>
    </w:p>
    <w:p>
      <w:pPr>
        <w:spacing w:line="360" w:lineRule="auto"/>
        <w:rPr>
          <w:rFonts w:hint="default" w:ascii="微软雅黑" w:hAnsi="微软雅黑" w:eastAsia="微软雅黑"/>
          <w:sz w:val="21"/>
          <w:szCs w:val="21"/>
          <w:lang w:val="en-US" w:eastAsia="zh-CN"/>
        </w:rPr>
      </w:pPr>
      <w:r>
        <w:rPr>
          <w:rFonts w:hint="eastAsia" w:ascii="微软雅黑" w:hAnsi="微软雅黑" w:eastAsia="微软雅黑"/>
          <w:b/>
          <w:bCs/>
          <w:sz w:val="21"/>
          <w:szCs w:val="21"/>
        </w:rPr>
        <w:t>市场合作</w:t>
      </w:r>
      <w:r>
        <w:rPr>
          <w:rFonts w:hint="eastAsia" w:ascii="微软雅黑" w:hAnsi="微软雅黑" w:eastAsia="微软雅黑"/>
          <w:sz w:val="21"/>
          <w:szCs w:val="21"/>
        </w:rPr>
        <w:t>：</w:t>
      </w:r>
      <w:r>
        <w:rPr>
          <w:rFonts w:hint="eastAsia" w:ascii="微软雅黑" w:hAnsi="微软雅黑" w:eastAsia="微软雅黑"/>
          <w:sz w:val="21"/>
          <w:szCs w:val="21"/>
          <w:lang w:val="en-US" w:eastAsia="zh-CN"/>
        </w:rPr>
        <w:t xml:space="preserve">孙女士 </w:t>
      </w:r>
      <w:r>
        <w:rPr>
          <w:rFonts w:hint="eastAsia" w:ascii="微软雅黑" w:hAnsi="微软雅黑" w:eastAsia="微软雅黑"/>
          <w:sz w:val="21"/>
          <w:szCs w:val="21"/>
        </w:rPr>
        <w:t>+</w:t>
      </w:r>
      <w:r>
        <w:rPr>
          <w:rFonts w:ascii="微软雅黑" w:hAnsi="微软雅黑" w:eastAsia="微软雅黑"/>
          <w:sz w:val="21"/>
          <w:szCs w:val="21"/>
        </w:rPr>
        <w:t>86-21-332314</w:t>
      </w:r>
      <w:r>
        <w:rPr>
          <w:rFonts w:hint="eastAsia" w:ascii="微软雅黑" w:hAnsi="微软雅黑" w:eastAsia="微软雅黑"/>
          <w:sz w:val="21"/>
          <w:szCs w:val="21"/>
          <w:lang w:val="en-US" w:eastAsia="zh-CN"/>
        </w:rPr>
        <w:t>70</w:t>
      </w:r>
    </w:p>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微软雅黑" w:hAnsi="微软雅黑" w:eastAsia="微软雅黑" w:cs="Arial Unicode MS"/>
        <w:b/>
        <w:bCs/>
        <w:sz w:val="18"/>
        <w:szCs w:val="18"/>
      </w:rPr>
    </w:pPr>
    <w:r>
      <w:rPr>
        <w:rFonts w:hint="eastAsia" w:ascii="微软雅黑" w:hAnsi="微软雅黑" w:eastAsia="微软雅黑" w:cs="Arial Unicode MS"/>
        <w:b/>
        <w:bCs/>
        <w:sz w:val="18"/>
        <w:szCs w:val="18"/>
      </w:rPr>
      <w:t>上海</w:t>
    </w:r>
    <w:r>
      <w:rPr>
        <w:rFonts w:hint="eastAsia" w:ascii="微软雅黑" w:hAnsi="微软雅黑" w:eastAsia="微软雅黑" w:cs="Arial Unicode MS"/>
        <w:b/>
        <w:bCs/>
        <w:sz w:val="18"/>
        <w:szCs w:val="18"/>
        <w:lang w:val="en-US" w:eastAsia="zh-CN"/>
      </w:rPr>
      <w:t>荷瑞展览</w:t>
    </w:r>
    <w:r>
      <w:rPr>
        <w:rFonts w:hint="eastAsia" w:ascii="微软雅黑" w:hAnsi="微软雅黑" w:eastAsia="微软雅黑" w:cs="Arial Unicode MS"/>
        <w:b/>
        <w:bCs/>
        <w:sz w:val="18"/>
        <w:szCs w:val="18"/>
      </w:rPr>
      <w:t>有限公司</w:t>
    </w:r>
  </w:p>
  <w:p>
    <w:pPr>
      <w:jc w:val="right"/>
      <w:rPr>
        <w:rFonts w:ascii="微软雅黑" w:hAnsi="微软雅黑" w:eastAsia="微软雅黑" w:cs="Arial Unicode MS"/>
        <w:sz w:val="18"/>
        <w:szCs w:val="18"/>
      </w:rPr>
    </w:pPr>
    <w:r>
      <w:rPr>
        <w:rFonts w:hint="eastAsia" w:ascii="微软雅黑" w:hAnsi="微软雅黑" w:eastAsia="微软雅黑" w:cs="Arial Unicode MS"/>
        <w:b/>
        <w:sz w:val="18"/>
        <w:szCs w:val="18"/>
      </w:rPr>
      <w:t>地址：</w:t>
    </w:r>
    <w:r>
      <w:rPr>
        <w:rFonts w:hint="eastAsia" w:ascii="微软雅黑" w:hAnsi="微软雅黑" w:eastAsia="微软雅黑" w:cs="Arial Unicode MS"/>
        <w:sz w:val="18"/>
        <w:szCs w:val="18"/>
      </w:rPr>
      <w:t>中国│ 上海 │</w:t>
    </w:r>
    <w:bookmarkStart w:id="0" w:name="_Hlk78288730"/>
    <w:r>
      <w:rPr>
        <w:rFonts w:hint="eastAsia" w:ascii="微软雅黑" w:hAnsi="微软雅黑" w:eastAsia="微软雅黑" w:cs="Arial Unicode MS"/>
        <w:sz w:val="18"/>
        <w:szCs w:val="18"/>
      </w:rPr>
      <w:t>闵行区金雨路55号虹桥525创意园A座4F</w:t>
    </w:r>
    <w:bookmarkEnd w:id="0"/>
    <w:r>
      <w:rPr>
        <w:rFonts w:hint="eastAsia" w:ascii="微软雅黑" w:hAnsi="微软雅黑" w:eastAsia="微软雅黑" w:cs="Arial Unicode MS"/>
        <w:sz w:val="18"/>
        <w:szCs w:val="18"/>
      </w:rPr>
      <w:t xml:space="preserve"> │邮编 201103</w:t>
    </w:r>
  </w:p>
  <w:p>
    <w:pPr>
      <w:jc w:val="right"/>
      <w:rPr>
        <w:rFonts w:ascii="微软雅黑" w:hAnsi="微软雅黑" w:eastAsia="微软雅黑" w:cs="Arial Unicode MS"/>
        <w:sz w:val="18"/>
        <w:szCs w:val="18"/>
      </w:rPr>
    </w:pPr>
    <w:r>
      <w:rPr>
        <w:rFonts w:hint="eastAsia" w:ascii="微软雅黑" w:hAnsi="微软雅黑" w:eastAsia="微软雅黑" w:cs="Arial Unicode MS"/>
        <w:b/>
        <w:sz w:val="18"/>
        <w:szCs w:val="18"/>
      </w:rPr>
      <w:t>电话：</w:t>
    </w:r>
    <w:r>
      <w:rPr>
        <w:rFonts w:hint="eastAsia" w:ascii="微软雅黑" w:hAnsi="微软雅黑" w:eastAsia="微软雅黑" w:cs="Arial Unicode MS"/>
        <w:sz w:val="18"/>
        <w:szCs w:val="18"/>
      </w:rPr>
      <w:t xml:space="preserve">86-21-33231300  </w:t>
    </w:r>
    <w:r>
      <w:rPr>
        <w:rFonts w:hint="eastAsia" w:ascii="微软雅黑" w:hAnsi="微软雅黑" w:eastAsia="微软雅黑" w:cs="Arial Unicode MS"/>
        <w:b/>
        <w:sz w:val="18"/>
        <w:szCs w:val="18"/>
      </w:rPr>
      <w:t>传真：</w:t>
    </w:r>
    <w:r>
      <w:rPr>
        <w:rFonts w:hint="eastAsia" w:ascii="微软雅黑" w:hAnsi="微软雅黑" w:eastAsia="微软雅黑" w:cs="Arial Unicode MS"/>
        <w:sz w:val="18"/>
        <w:szCs w:val="18"/>
      </w:rPr>
      <w:t xml:space="preserve"> 86-21-33231366</w:t>
    </w:r>
  </w:p>
  <w:p>
    <w:pPr>
      <w:jc w:val="right"/>
      <w:rPr>
        <w:rFonts w:ascii="微软雅黑" w:hAnsi="微软雅黑" w:eastAsia="微软雅黑" w:cs="Arial Unicode MS"/>
        <w:sz w:val="18"/>
        <w:szCs w:val="18"/>
      </w:rPr>
    </w:pPr>
    <w:r>
      <w:rPr>
        <w:rFonts w:hint="eastAsia" w:ascii="微软雅黑" w:hAnsi="微软雅黑" w:eastAsia="微软雅黑" w:cs="Arial Unicode MS"/>
        <w:b/>
        <w:sz w:val="18"/>
        <w:szCs w:val="18"/>
      </w:rPr>
      <w:t>网站：</w:t>
    </w:r>
    <w:r>
      <w:fldChar w:fldCharType="begin"/>
    </w:r>
    <w:r>
      <w:instrText xml:space="preserve"> HYPERLINK "http://www.chcexpo.com" </w:instrText>
    </w:r>
    <w:r>
      <w:fldChar w:fldCharType="separate"/>
    </w:r>
    <w:r>
      <w:rPr>
        <w:rStyle w:val="13"/>
        <w:rFonts w:hint="eastAsia" w:ascii="微软雅黑" w:hAnsi="微软雅黑" w:eastAsia="微软雅黑" w:cs="Arial Unicode MS"/>
      </w:rPr>
      <w:t>www.chcexpo.com</w:t>
    </w:r>
    <w:r>
      <w:rPr>
        <w:rStyle w:val="13"/>
        <w:rFonts w:hint="eastAsia" w:ascii="微软雅黑" w:hAnsi="微软雅黑" w:eastAsia="微软雅黑" w:cs="Arial Unicode MS"/>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drawing>
        <wp:inline distT="0" distB="0" distL="0" distR="0">
          <wp:extent cx="59055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NDI4NTJjNzcxODU5YzgzZThjNzI3Nzg1ZmY0YTEifQ=="/>
  </w:docVars>
  <w:rsids>
    <w:rsidRoot w:val="004A61FD"/>
    <w:rsid w:val="00003C23"/>
    <w:rsid w:val="0006325F"/>
    <w:rsid w:val="00070098"/>
    <w:rsid w:val="00084150"/>
    <w:rsid w:val="00094F4F"/>
    <w:rsid w:val="000978C1"/>
    <w:rsid w:val="000A1310"/>
    <w:rsid w:val="000A6AE8"/>
    <w:rsid w:val="000B6C2F"/>
    <w:rsid w:val="000C43A4"/>
    <w:rsid w:val="000C6E19"/>
    <w:rsid w:val="000D04A7"/>
    <w:rsid w:val="000E3FC7"/>
    <w:rsid w:val="00101C58"/>
    <w:rsid w:val="00101DC9"/>
    <w:rsid w:val="00114623"/>
    <w:rsid w:val="00122433"/>
    <w:rsid w:val="00135292"/>
    <w:rsid w:val="00164A96"/>
    <w:rsid w:val="001734E6"/>
    <w:rsid w:val="001877BF"/>
    <w:rsid w:val="001E61DC"/>
    <w:rsid w:val="0020069C"/>
    <w:rsid w:val="002036AB"/>
    <w:rsid w:val="0021507D"/>
    <w:rsid w:val="002169A4"/>
    <w:rsid w:val="00240103"/>
    <w:rsid w:val="002562B9"/>
    <w:rsid w:val="002738CE"/>
    <w:rsid w:val="002850C1"/>
    <w:rsid w:val="002B017E"/>
    <w:rsid w:val="002D01EE"/>
    <w:rsid w:val="002D4200"/>
    <w:rsid w:val="002F5037"/>
    <w:rsid w:val="00302C92"/>
    <w:rsid w:val="00307089"/>
    <w:rsid w:val="00312A5D"/>
    <w:rsid w:val="003201D6"/>
    <w:rsid w:val="003308EA"/>
    <w:rsid w:val="00332C4D"/>
    <w:rsid w:val="00336A45"/>
    <w:rsid w:val="00337F9F"/>
    <w:rsid w:val="00351BB9"/>
    <w:rsid w:val="0035435F"/>
    <w:rsid w:val="00363DBB"/>
    <w:rsid w:val="00364E23"/>
    <w:rsid w:val="00365828"/>
    <w:rsid w:val="00372648"/>
    <w:rsid w:val="003916C3"/>
    <w:rsid w:val="003A0D02"/>
    <w:rsid w:val="003C0128"/>
    <w:rsid w:val="003D1F37"/>
    <w:rsid w:val="00421939"/>
    <w:rsid w:val="0043219D"/>
    <w:rsid w:val="00466152"/>
    <w:rsid w:val="004846AD"/>
    <w:rsid w:val="00484C14"/>
    <w:rsid w:val="004A61FD"/>
    <w:rsid w:val="004B78CC"/>
    <w:rsid w:val="004E181F"/>
    <w:rsid w:val="004E49C5"/>
    <w:rsid w:val="004F2A38"/>
    <w:rsid w:val="0050718E"/>
    <w:rsid w:val="005071E5"/>
    <w:rsid w:val="00515AEC"/>
    <w:rsid w:val="00533E24"/>
    <w:rsid w:val="00536BD1"/>
    <w:rsid w:val="005373B9"/>
    <w:rsid w:val="005400C5"/>
    <w:rsid w:val="005416E3"/>
    <w:rsid w:val="005466E4"/>
    <w:rsid w:val="00547F6B"/>
    <w:rsid w:val="00550495"/>
    <w:rsid w:val="0056474B"/>
    <w:rsid w:val="00567136"/>
    <w:rsid w:val="00585656"/>
    <w:rsid w:val="005932AA"/>
    <w:rsid w:val="00594D20"/>
    <w:rsid w:val="005A2FBD"/>
    <w:rsid w:val="005C3E41"/>
    <w:rsid w:val="005D1326"/>
    <w:rsid w:val="005D7FAF"/>
    <w:rsid w:val="006061DA"/>
    <w:rsid w:val="00614EC9"/>
    <w:rsid w:val="006231CF"/>
    <w:rsid w:val="006427EB"/>
    <w:rsid w:val="00645E27"/>
    <w:rsid w:val="00660677"/>
    <w:rsid w:val="006902AB"/>
    <w:rsid w:val="006912D1"/>
    <w:rsid w:val="006A53FD"/>
    <w:rsid w:val="006C69B6"/>
    <w:rsid w:val="006E2E56"/>
    <w:rsid w:val="006F20AE"/>
    <w:rsid w:val="00711BD5"/>
    <w:rsid w:val="0071380E"/>
    <w:rsid w:val="00716560"/>
    <w:rsid w:val="00716A1F"/>
    <w:rsid w:val="00743108"/>
    <w:rsid w:val="00756000"/>
    <w:rsid w:val="00766DBD"/>
    <w:rsid w:val="0079174C"/>
    <w:rsid w:val="007D6DB6"/>
    <w:rsid w:val="007E2DE5"/>
    <w:rsid w:val="00801287"/>
    <w:rsid w:val="00802998"/>
    <w:rsid w:val="00804C70"/>
    <w:rsid w:val="0080519F"/>
    <w:rsid w:val="00822054"/>
    <w:rsid w:val="0083517A"/>
    <w:rsid w:val="00837E55"/>
    <w:rsid w:val="00852254"/>
    <w:rsid w:val="00861BFD"/>
    <w:rsid w:val="00866B37"/>
    <w:rsid w:val="0087640C"/>
    <w:rsid w:val="00877E37"/>
    <w:rsid w:val="008865BE"/>
    <w:rsid w:val="00891CE5"/>
    <w:rsid w:val="008953AB"/>
    <w:rsid w:val="008961BB"/>
    <w:rsid w:val="008B70C9"/>
    <w:rsid w:val="008B7A6E"/>
    <w:rsid w:val="008C45DA"/>
    <w:rsid w:val="008D1C76"/>
    <w:rsid w:val="008D4446"/>
    <w:rsid w:val="008D5A1F"/>
    <w:rsid w:val="008E131E"/>
    <w:rsid w:val="008F1385"/>
    <w:rsid w:val="008F29EA"/>
    <w:rsid w:val="0091727C"/>
    <w:rsid w:val="00920BC4"/>
    <w:rsid w:val="00963CC6"/>
    <w:rsid w:val="00966A19"/>
    <w:rsid w:val="00971DD1"/>
    <w:rsid w:val="0098433E"/>
    <w:rsid w:val="009A72D3"/>
    <w:rsid w:val="009B4A3B"/>
    <w:rsid w:val="009C31E2"/>
    <w:rsid w:val="009D3E1F"/>
    <w:rsid w:val="009E5895"/>
    <w:rsid w:val="00A00F46"/>
    <w:rsid w:val="00A0402B"/>
    <w:rsid w:val="00A1417C"/>
    <w:rsid w:val="00A2636E"/>
    <w:rsid w:val="00A31493"/>
    <w:rsid w:val="00A527CA"/>
    <w:rsid w:val="00A60263"/>
    <w:rsid w:val="00A64EF5"/>
    <w:rsid w:val="00A77477"/>
    <w:rsid w:val="00A85CC7"/>
    <w:rsid w:val="00A955C3"/>
    <w:rsid w:val="00A972D4"/>
    <w:rsid w:val="00AA10FA"/>
    <w:rsid w:val="00AA2E90"/>
    <w:rsid w:val="00AB0E5C"/>
    <w:rsid w:val="00AB4CC9"/>
    <w:rsid w:val="00AF142D"/>
    <w:rsid w:val="00AF30FB"/>
    <w:rsid w:val="00AF776A"/>
    <w:rsid w:val="00B123C8"/>
    <w:rsid w:val="00B2183C"/>
    <w:rsid w:val="00B32CBD"/>
    <w:rsid w:val="00B347F8"/>
    <w:rsid w:val="00B80AFA"/>
    <w:rsid w:val="00B827B6"/>
    <w:rsid w:val="00BC6427"/>
    <w:rsid w:val="00BE1BEB"/>
    <w:rsid w:val="00C11BF3"/>
    <w:rsid w:val="00C57C8B"/>
    <w:rsid w:val="00C615F5"/>
    <w:rsid w:val="00C7449B"/>
    <w:rsid w:val="00C7510C"/>
    <w:rsid w:val="00C7531D"/>
    <w:rsid w:val="00C92189"/>
    <w:rsid w:val="00C92D3D"/>
    <w:rsid w:val="00C947E1"/>
    <w:rsid w:val="00CA19C9"/>
    <w:rsid w:val="00CA219F"/>
    <w:rsid w:val="00CA647D"/>
    <w:rsid w:val="00CD55F1"/>
    <w:rsid w:val="00CE484F"/>
    <w:rsid w:val="00CE5E15"/>
    <w:rsid w:val="00CF2AD1"/>
    <w:rsid w:val="00D04BD9"/>
    <w:rsid w:val="00D12752"/>
    <w:rsid w:val="00D20022"/>
    <w:rsid w:val="00D20E06"/>
    <w:rsid w:val="00D2330D"/>
    <w:rsid w:val="00D321FC"/>
    <w:rsid w:val="00D37B0C"/>
    <w:rsid w:val="00D61ECF"/>
    <w:rsid w:val="00D66683"/>
    <w:rsid w:val="00D6670E"/>
    <w:rsid w:val="00D91436"/>
    <w:rsid w:val="00DC1F9F"/>
    <w:rsid w:val="00DD38F6"/>
    <w:rsid w:val="00E00DEE"/>
    <w:rsid w:val="00E26EF3"/>
    <w:rsid w:val="00E33000"/>
    <w:rsid w:val="00E458E1"/>
    <w:rsid w:val="00E539E0"/>
    <w:rsid w:val="00E61A30"/>
    <w:rsid w:val="00E64845"/>
    <w:rsid w:val="00EB1F60"/>
    <w:rsid w:val="00EB4437"/>
    <w:rsid w:val="00EC7762"/>
    <w:rsid w:val="00ED12DE"/>
    <w:rsid w:val="00EE0EF8"/>
    <w:rsid w:val="00EE3456"/>
    <w:rsid w:val="00F16A52"/>
    <w:rsid w:val="00F33062"/>
    <w:rsid w:val="00F3466B"/>
    <w:rsid w:val="00F4490A"/>
    <w:rsid w:val="00F632ED"/>
    <w:rsid w:val="00F719BA"/>
    <w:rsid w:val="00F77596"/>
    <w:rsid w:val="00F83A3D"/>
    <w:rsid w:val="00F84FD9"/>
    <w:rsid w:val="00FA2937"/>
    <w:rsid w:val="00FA2D82"/>
    <w:rsid w:val="00FC31F4"/>
    <w:rsid w:val="00FD4D69"/>
    <w:rsid w:val="00FD7356"/>
    <w:rsid w:val="00FE2EED"/>
    <w:rsid w:val="00FF07F1"/>
    <w:rsid w:val="00FF6975"/>
    <w:rsid w:val="0114177F"/>
    <w:rsid w:val="0DEC0497"/>
    <w:rsid w:val="13BF3569"/>
    <w:rsid w:val="18733ACE"/>
    <w:rsid w:val="19EC6C24"/>
    <w:rsid w:val="1DBB6F32"/>
    <w:rsid w:val="217656DD"/>
    <w:rsid w:val="21A873A4"/>
    <w:rsid w:val="2402012C"/>
    <w:rsid w:val="24CA5822"/>
    <w:rsid w:val="257D440F"/>
    <w:rsid w:val="36AE08C9"/>
    <w:rsid w:val="382D7EFD"/>
    <w:rsid w:val="3A575643"/>
    <w:rsid w:val="433676F2"/>
    <w:rsid w:val="4FC8502E"/>
    <w:rsid w:val="51AE677F"/>
    <w:rsid w:val="52400528"/>
    <w:rsid w:val="59DD21C0"/>
    <w:rsid w:val="5E460F16"/>
    <w:rsid w:val="657D1BD3"/>
    <w:rsid w:val="692F3BE2"/>
    <w:rsid w:val="6E3359ED"/>
    <w:rsid w:val="795D771D"/>
    <w:rsid w:val="7A860D31"/>
    <w:rsid w:val="7B7973D7"/>
    <w:rsid w:val="7D50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sz w:val="18"/>
      <w:szCs w:val="18"/>
    </w:rPr>
  </w:style>
  <w:style w:type="character" w:customStyle="1" w:styleId="18">
    <w:name w:val="apple-converted-space"/>
    <w:basedOn w:val="10"/>
    <w:qFormat/>
    <w:uiPriority w:val="0"/>
  </w:style>
  <w:style w:type="paragraph" w:customStyle="1" w:styleId="19">
    <w:name w:val="p-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标题 3 字符"/>
    <w:basedOn w:val="10"/>
    <w:link w:val="4"/>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54ED-3099-4BC5-A6DA-1E89C329F5A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2020</Words>
  <Characters>2181</Characters>
  <Lines>14</Lines>
  <Paragraphs>4</Paragraphs>
  <TotalTime>11</TotalTime>
  <ScaleCrop>false</ScaleCrop>
  <LinksUpToDate>false</LinksUpToDate>
  <CharactersWithSpaces>2202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2021-07-29T08:16:00Z</dcterms:created>
  <dc:creator>微软用户</dc:creator>
  <cp:lastModifiedBy>shirley</cp:lastModifiedBy>
  <dcterms:modified xsi:type="dcterms:W3CDTF">2023-10-26T06:56:32Z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36DBE0B8262647EBA6F02346EC492997_13</vt:lpwstr>
  </property>
</Properties>
</file>