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97" w:tblpY="10"/>
        <w:tblOverlap w:val="never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91" w:type="dxa"/>
          </w:tcPr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To:展会负责人/总经理                                            发件人：李涛18500151444</w:t>
            </w:r>
          </w:p>
        </w:tc>
      </w:tr>
    </w:tbl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366395</wp:posOffset>
            </wp:positionV>
            <wp:extent cx="1064895" cy="1064895"/>
            <wp:effectExtent l="0" t="0" r="1905" b="0"/>
            <wp:wrapNone/>
            <wp:docPr id="3" name="图片 3" descr="2024福建餐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福建餐饮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2024中国（福建）国际餐饮供应链博览会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 China (Fujian) International Catering Supply Chain Expo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暨预制菜丨火锅食材丨水产海鲜丨禽类食品丨配餐调料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丨餐饮加盟丨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烧烤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丨餐厨设备丨外卖包装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展览会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34925</wp:posOffset>
                </wp:positionV>
                <wp:extent cx="621030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9920" y="2439670"/>
                          <a:ext cx="6210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2.75pt;height:0.1pt;width:489pt;z-index:251659264;mso-width-relative:page;mso-height-relative:page;" filled="f" stroked="t" coordsize="21600,21600" o:gfxdata="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m28w1AAAAAYBAAAPAAAAAAAAAAEAIAAAACIAAABkcnMvZG93bnJldi54bWxQSwECFAAUAAAACACH&#10;TuJATINKou8BAADAAwAADgAAAAAAAAABACAAAAAjAQAAZHJzL2Uyb0RvYy54bWxQSwUGAAAAAAYA&#10;BgBZAQAAh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时间</w:t>
      </w:r>
      <w:r>
        <w:rPr>
          <w:rFonts w:hint="eastAsia" w:ascii="宋体" w:hAnsi="宋体" w:eastAsia="宋体" w:cs="宋体"/>
        </w:rPr>
        <w:t>：20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 xml:space="preserve">17-19日                </w:t>
      </w:r>
      <w:r>
        <w:rPr>
          <w:rFonts w:hint="eastAsia" w:ascii="宋体" w:hAnsi="宋体" w:eastAsia="宋体" w:cs="宋体"/>
        </w:rPr>
        <w:t>地点：</w:t>
      </w:r>
      <w:r>
        <w:rPr>
          <w:rFonts w:hint="eastAsia" w:ascii="宋体" w:hAnsi="宋体" w:eastAsia="宋体" w:cs="宋体"/>
          <w:lang w:val="en-US" w:eastAsia="zh-CN"/>
        </w:rPr>
        <w:t>厦门国际会展中心</w: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</wp:posOffset>
                </wp:positionV>
                <wp:extent cx="3439795" cy="1953260"/>
                <wp:effectExtent l="0" t="0" r="8255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7750" y="3723640"/>
                          <a:ext cx="3439795" cy="195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4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指导单位：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厦门市商务局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4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主办单位：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福建省连锁经营协会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博亚国际展览有限公司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4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协办单位：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各省市连锁经营协会和各省市餐饮行业协会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6.3pt;height:153.8pt;width:270.85pt;z-index:251663360;mso-width-relative:page;mso-height-relative:page;" fillcolor="#FFFFFF [3201]" filled="t" stroked="f" coordsize="21600,21600" o:gfxdata="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EtiAzV&#10;AAAACgEAAA8AAAAAAAAAAQAgAAAAIgAAAGRycy9kb3ducmV2LnhtbFBLAQIUABQAAAAIAIdO4kDt&#10;j7aj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4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指导单位：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厦门市商务局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4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主办单位：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福建省连锁经营协会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博亚国际展览有限公司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4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协办单位：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各省市连锁经营协会和各省市餐饮行业协会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57150</wp:posOffset>
                </wp:positionV>
                <wp:extent cx="2753995" cy="981075"/>
                <wp:effectExtent l="0" t="0" r="825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9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4.5pt;height:77.25pt;width:216.85pt;z-index:251664384;mso-width-relative:page;mso-height-relative:page;" fillcolor="#FFFFFF [3201]" filled="t" stroked="f" coordsize="21600,21600" o:gfxdata="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xn9qtUAAAAJAQAADwAA&#10;AAAAAAABACAAAAAiAAAAZHJzL2Rvd25yZXYueG1sUEsBAhQAFAAAAAgAh07iQNWzPUFSAgAAjw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62865</wp:posOffset>
                </wp:positionV>
                <wp:extent cx="2875915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4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承办单位：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福建华之信国际会展有限公司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4" w:firstLineChars="5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大会官网：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1050" w:firstLineChars="500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www.dingexpo.cn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pt;margin-top:4.95pt;height:144pt;width:226.45pt;z-index:251665408;mso-width-relative:page;mso-height-relative:page;" filled="f" stroked="f" coordsize="21600,21600" o:gfxdata="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bFBktYAAAAJAQAADwAAAAAAAAABACAAAAAiAAAAZHJz&#10;L2Rvd25yZXYueG1sUEsBAhQAFAAAAAgAh07iQHeZ0dY/AgAAZwQAAA4AAAAAAAAAAQAgAAAAJ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4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承办单位：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福建华之信国际会展有限公司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4" w:firstLineChars="5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大会官网：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20" w:lineRule="exact"/>
                        <w:ind w:firstLine="1050" w:firstLineChars="500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www.dingexpo.cn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【展会介绍】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FFE</w:t>
      </w:r>
      <w:r>
        <w:rPr>
          <w:rFonts w:hint="eastAsia" w:ascii="宋体" w:hAnsi="宋体" w:eastAsia="宋体" w:cs="宋体"/>
          <w:sz w:val="21"/>
          <w:szCs w:val="21"/>
        </w:rPr>
        <w:t>中国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福建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国际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餐饮供应链博览会将于2024年5月17-19日在厦门国际会展中心举办，由福建省连锁经营协会、博亚国际展览有限公司联合主办，福建华之信国际会展有限公司承办，</w:t>
      </w:r>
      <w:r>
        <w:rPr>
          <w:rFonts w:hint="eastAsia" w:ascii="宋体" w:hAnsi="宋体" w:eastAsia="宋体" w:cs="宋体"/>
          <w:sz w:val="21"/>
          <w:szCs w:val="21"/>
        </w:rPr>
        <w:t>以“搭建交流合作平台 引导行业健康发展”为主题，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展品覆盖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预制菜、火锅食材、水产海鲜、禽类食品、配餐调料、餐饮加盟、烧烤食材、餐厨设备、外卖包装等供应链全品类，给展商和观众更好的服务体验。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FFE福建餐博会预计展出规模28000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m²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展会雄厚的买家资源和丰富的配套活动是引人瞩目的亮点。</w:t>
      </w:r>
      <w:r>
        <w:rPr>
          <w:rFonts w:hint="eastAsia" w:ascii="宋体" w:hAnsi="宋体" w:eastAsia="宋体" w:cs="宋体"/>
          <w:sz w:val="21"/>
          <w:szCs w:val="21"/>
        </w:rPr>
        <w:t>展示餐饮行业名企，捕捉市场机遇，以国际化为目标，立足中国走向世界，为企业迅速进入中外市场、更为行业发展起到积极的作用。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  <w:lang w:val="en-US" w:eastAsia="zh-CN"/>
        </w:rPr>
        <w:t>展会亮点与优势</w:t>
      </w:r>
      <w:r>
        <w:rPr>
          <w:rFonts w:hint="eastAsia"/>
          <w:b/>
          <w:szCs w:val="21"/>
        </w:rPr>
        <w:t>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1、聚焦东南地区，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餐饮供应链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行业首选平台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FFE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餐博会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，展会规模庞大，参展品类众多，总体展示面积达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000㎡，500+家优质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企业汇聚，上千个品牌集中呈现，多方协同，强强联手，倾力打造特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行业一站式优质、高效创业平台，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行业标杆展览。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2、对接高质量投资观众 现场签单率高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FFE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餐博会</w:t>
      </w:r>
      <w:r>
        <w:rPr>
          <w:rFonts w:hint="eastAsia" w:ascii="宋体" w:hAnsi="宋体" w:eastAsia="宋体" w:cs="宋体"/>
          <w:sz w:val="21"/>
          <w:szCs w:val="32"/>
        </w:rPr>
        <w:t>，公司专业的邀约团队，线上线下相结合的宣传方式，通过微信，短信，电话，电邮等方式一对一进行定向邀约，实现品牌项目与投资者达到双赢。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3、同期活动构建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餐饮供应链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行业话题矩阵，三天近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四十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场次不同议题演讲，干货满满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FFE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餐博会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组委会联合政府、协会/商会和知名企业等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行业名圈同期举办品牌连锁大会、选品大会等一系列极具前瞻性、市场敏锐度的会议论坛活动，三天近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四十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议题演讲，涉及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政策解读、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餐饮供应链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发展趋势分析、店铺运营、人才培训、门店大卖案例剖析、实操分享等多个方面。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4、权威机构强强联手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携手合作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20+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行业协会、政府机构、合作伙伴、媒体整合多方优势资源，实现合作共赢。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5、百万级广告宣传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组委会通过使用“百度、今日头条、快手、抖音等”进行信息流全国投放，组委会多年累计百万数据通过“短信、外呼”覆盖精准观众，让参展不虚此行！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【高品质采购商】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庞大的《采购商数据库》，定点、定向邀请全国各省市、港澳台地区餐饮业协（商）会会长、秘书长，大型中高档超市、中国百强餐饮企业。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全国星级酒店及各类品牌连锁酒店、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度假村、</w:t>
      </w:r>
      <w:r>
        <w:rPr>
          <w:rFonts w:hint="eastAsia" w:ascii="宋体" w:hAnsi="宋体" w:eastAsia="宋体" w:cs="宋体"/>
          <w:sz w:val="21"/>
          <w:szCs w:val="21"/>
        </w:rPr>
        <w:t>商贸公司、贸易商、采购商、批发商、进口商、中餐、西餐、快餐、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团餐、休闲餐饮、火锅、咖啡馆、茶餐厅、夜总会、 DISCO、娱乐休闲场所、会所、</w:t>
      </w:r>
      <w:r>
        <w:rPr>
          <w:rFonts w:hint="eastAsia" w:ascii="宋体" w:hAnsi="宋体" w:eastAsia="宋体" w:cs="宋体"/>
          <w:sz w:val="21"/>
          <w:szCs w:val="21"/>
        </w:rPr>
        <w:t>分销商、连锁店、酒吧、酒类进口商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超市、便利店、食品工厂、农产品市场/总经理/总厨/采购/总监/采购经理；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84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医院、高校、部队、航空、铁路、船舶、邮轮公司、政府机构及企事业单位、监狱、大型 企业集团高层采购人士；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84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食材、饮品、设备、厨具、餐饮用具等产品的代理商和经销商、批发商；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各国驻华大使馆等以及通过与各行业协会合作，协助组织前来观展的专业买家。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为餐饮食材界搭建展示平台和实效交易环境，协助展商拓展蓬勃发展的中国餐饮市场。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211" w:hanging="211" w:hangingChars="100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b/>
          <w:szCs w:val="21"/>
        </w:rPr>
        <w:t>同期活动</w:t>
      </w:r>
      <w:r>
        <w:rPr>
          <w:rFonts w:hint="eastAsia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210" w:hanging="210" w:hangingChars="100"/>
        <w:textAlignment w:val="auto"/>
        <w:rPr>
          <w:szCs w:val="21"/>
        </w:rPr>
      </w:pPr>
      <w:r>
        <w:rPr>
          <w:rFonts w:hint="eastAsia"/>
          <w:szCs w:val="21"/>
        </w:rPr>
        <w:t xml:space="preserve">1、餐饮领袖·名厨与餐饮供货商联谊会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2、</w:t>
      </w:r>
      <w:r>
        <w:rPr>
          <w:szCs w:val="21"/>
        </w:rPr>
        <w:t>商超</w:t>
      </w:r>
      <w:r>
        <w:rPr>
          <w:rFonts w:hint="eastAsia"/>
          <w:szCs w:val="21"/>
        </w:rPr>
        <w:t>/星级酒店</w:t>
      </w:r>
      <w:r>
        <w:rPr>
          <w:szCs w:val="21"/>
        </w:rPr>
        <w:t>采购配对会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中国好食材</w:t>
      </w:r>
      <w:r>
        <w:rPr>
          <w:rFonts w:hint="eastAsia"/>
          <w:szCs w:val="21"/>
        </w:rPr>
        <w:t>评选</w:t>
      </w:r>
      <w:r>
        <w:rPr>
          <w:szCs w:val="21"/>
        </w:rPr>
        <w:t>活动</w:t>
      </w:r>
      <w:r>
        <w:rPr>
          <w:rFonts w:hint="eastAsia"/>
          <w:szCs w:val="21"/>
        </w:rPr>
        <w:t xml:space="preserve">                     4、中国餐饮行业发展趋势高峰论坛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5、外卖产业大会暨餐饮包装峰会             6、专场路演·品牌公司、厂区考察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【展品范围】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32"/>
        </w:rPr>
      </w:pPr>
      <w:r>
        <w:rPr>
          <w:rFonts w:hint="eastAsia" w:ascii="宋体" w:hAnsi="宋体" w:eastAsia="宋体" w:cs="宋体"/>
          <w:b/>
          <w:bCs/>
          <w:sz w:val="21"/>
          <w:szCs w:val="32"/>
        </w:rPr>
        <w:t>餐饮供应链类：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综合预制菜：各类拥有预制菜生产业务的连锁餐饮企业、品牌连锁星级酒店、连锁商超便利企业，国内外头部预制菜加工生产企业等；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火锅食材及用品：火锅特色食材涮品、火锅底料及调料、火锅饮品、鱼糜和肉糜制品、火锅配套用品等；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肉类食材：冷冻/冰鲜肉、肉卷、肉丸、火腿、香肠、调理食品及即食产品等；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水产海鲜：海鲜冻品、干品、活品、水产调理食品及深加工制品等；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禽类食品：速冻家禽、分割禽、禽肉调理食品、禽肉深加工食品、蛋品等；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蔬菜菌菜：速冻蔬菜、调理菜、酱菜、泡菜、蔬菜制品及各种食用菌菜等；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其他食材：酒水饮料、乳制品、豆制品、米/面粉汤料、西餐调味品、火锅调味料等；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配餐调料：食用油、酱油、醋、腐乳、鸡精、鸡粉、鸡汁、味精、酱料、复合调味料罐头等；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外卖包装及用品：铝箔餐盒、快餐包装、可降解快餐盒、快餐餐具、木片盒、氧化吕涂膜盒、保温盒、全生物降解餐包等包装；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32"/>
        </w:rPr>
        <w:t>餐饮连锁类：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中式餐饮：快餐、火锅、饭店等连锁餐饮企业；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西式餐饮：日本料理、韩国拌饭等连锁餐饮企业；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时尚饮品：咖啡、奶茶、茶坊、饮料、酒吧等连锁餐饮企业；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特色名吃：鸡排、鸭脖、各地风味美食、特色小吃、风味土特产品、清真餐饮等；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休闲食品：糕点、月饼、速食食品、海鲜食品等连锁餐饮企业；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酒店连锁：商务酒店、经济酒店、公寓酒店、观光酒店、餐饮软件及设备等连锁企业；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32"/>
        </w:rPr>
        <w:t>餐饮设备展区：餐饮收银/点餐系统、包装设备、仓储及冷链物流设备、厨房用品、餐饮家具等；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color w:val="auto"/>
        </w:rPr>
        <w:t>战略推广合作机会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为提升企业的品牌知名度和美誉度，彰显卓越的产品品质及服务，使企业参加本届展会达到最优的效果，组委会特提供多种战略合作方案。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作为战略合作单位参与本届展会，将得到以下8大项服务与宣传：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1、促进贵企与政府部门建立和谐关系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2、贵企领导作为特邀嘉宾出席展会开幕式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3、电视台、报纸媒体专访、大会官方网站重点宣传   4、室内显要展区优先选择权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5、量身定做“一对一”专业观众邀请工作           6、签约仪式场地及专场推荐会一场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7、展前快讯、会刊、采购指南及群发短信等特别宣传 8、会场户外显著广告位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【战略合作级别】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50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80</w:t>
      </w:r>
      <w:r>
        <w:rPr>
          <w:rFonts w:hint="eastAsia" w:ascii="宋体" w:hAnsi="宋体" w:eastAsia="宋体" w:cs="宋体"/>
        </w:rPr>
        <w:t>万等，（具体内容请与组织机构联系）。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【成为协办】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  <w:t xml:space="preserve"> 冠名、协办、赞助参与本届盛会，将得到10大项的服务或宣传，向组委会索取相关方案和回报条例！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【参展程序】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1．参展单位应具备生产和经营有效期内的《营业执照》及合法的批准文件等。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2．展位分配原则：“先申请，先付款，先安排”。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3．参展单位在选定展位后请认真填写《参展申请及合约表》，加盖公章后传真或电邮至大会组委会。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4．申请展位2个工作日内将参展费用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汇款</w:t>
      </w:r>
      <w:r>
        <w:rPr>
          <w:rFonts w:hint="eastAsia" w:ascii="宋体" w:hAnsi="宋体" w:eastAsia="宋体" w:cs="宋体"/>
          <w:sz w:val="21"/>
          <w:szCs w:val="21"/>
        </w:rPr>
        <w:t>或交至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承办</w:t>
      </w:r>
      <w:r>
        <w:rPr>
          <w:rFonts w:hint="eastAsia" w:ascii="宋体" w:hAnsi="宋体" w:eastAsia="宋体" w:cs="宋体"/>
          <w:sz w:val="21"/>
          <w:szCs w:val="21"/>
        </w:rPr>
        <w:t>单位，过期不付款者，组委会有权变更原定展位或取消其参展资格。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5．参展商在汇出各项费用后，请将银行汇款单传真至组织单位。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7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【组委会秘书处】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75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招商部经理：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李涛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18500151444（微信）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邮箱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boyalitao@163.com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Q：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257886612                                     官网：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www.dingexpo.cn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观众热线：400-885-6191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【展位费用】</w:t>
      </w:r>
    </w:p>
    <w:tbl>
      <w:tblPr>
        <w:tblStyle w:val="6"/>
        <w:tblpPr w:leftFromText="180" w:rightFromText="180" w:vertAnchor="text" w:horzAnchor="page" w:tblpX="1317" w:tblpY="209"/>
        <w:tblOverlap w:val="never"/>
        <w:tblW w:w="95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439"/>
        <w:gridCol w:w="2902"/>
        <w:gridCol w:w="2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展位设置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规格及要求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国内企业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外资企业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普通单开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8800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普通双开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双开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室内空地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36m²起订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00元/m²/展期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美元/m²/展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【展位说明】 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188595</wp:posOffset>
            </wp:positionV>
            <wp:extent cx="6166485" cy="1152525"/>
            <wp:effectExtent l="0" t="0" r="5715" b="9525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9平米双开口            9平米单开口          18平米普通展位          特装光地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标准展位配置：中英文楣板、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射灯</w:t>
      </w:r>
      <w:r>
        <w:rPr>
          <w:rFonts w:hint="eastAsia" w:ascii="宋体" w:hAnsi="宋体" w:eastAsia="宋体" w:cs="宋体"/>
          <w:sz w:val="21"/>
          <w:szCs w:val="21"/>
        </w:rPr>
        <w:t>两盏、隔板、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接待</w:t>
      </w:r>
      <w:r>
        <w:rPr>
          <w:rFonts w:hint="eastAsia" w:ascii="宋体" w:hAnsi="宋体" w:eastAsia="宋体" w:cs="宋体"/>
          <w:sz w:val="21"/>
          <w:szCs w:val="21"/>
        </w:rPr>
        <w:t>桌一张、椅子两把、400W/220V电源插座一个；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不带任何配置，需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展商自行负责展位布置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高清展位效果图请联系承办方；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【会刊广告】</w:t>
      </w:r>
    </w:p>
    <w:tbl>
      <w:tblPr>
        <w:tblStyle w:val="6"/>
        <w:tblpPr w:leftFromText="180" w:rightFromText="180" w:vertAnchor="text" w:horzAnchor="page" w:tblpX="1287" w:tblpY="110"/>
        <w:tblOverlap w:val="never"/>
        <w:tblW w:w="9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5"/>
        <w:gridCol w:w="1245"/>
        <w:gridCol w:w="1245"/>
        <w:gridCol w:w="1425"/>
        <w:gridCol w:w="1410"/>
        <w:gridCol w:w="2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封面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封底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封二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封三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跨彩页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彩色内页</w:t>
            </w:r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文字简介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展商免费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注：会刊版面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210X140）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进口铜版纸、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色精印、版面内容由展商自行设计。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【宣传印刷品】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各种宣传资料将有效提高贵司的知名度与美誉度。</w:t>
      </w:r>
    </w:p>
    <w:tbl>
      <w:tblPr>
        <w:tblStyle w:val="6"/>
        <w:tblW w:w="9866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0"/>
        <w:gridCol w:w="1535"/>
        <w:gridCol w:w="1509"/>
        <w:gridCol w:w="174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   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  柬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手提袋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名片盒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参观证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证件挂绳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8000元/万张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000元/千张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000元/千个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000元/千个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【现场广告】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数量有限根据打款前后安排顺序</w:t>
      </w:r>
    </w:p>
    <w:tbl>
      <w:tblPr>
        <w:tblStyle w:val="6"/>
        <w:tblW w:w="986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395"/>
        <w:gridCol w:w="1950"/>
        <w:gridCol w:w="1380"/>
        <w:gridCol w:w="13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莲前路路口广告位10mX5m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注水道旗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1.1mX4m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展馆外、登录大厅玻璃幕墙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厅外包柱8.4mX2.3m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走廊挂旗4mX1.5m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厅内吊旗5mX3m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3000元/柱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10000/柱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15000/块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【论坛会议价目表】</w:t>
      </w:r>
    </w:p>
    <w:tbl>
      <w:tblPr>
        <w:tblStyle w:val="6"/>
        <w:tblW w:w="9851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135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单场：10000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30分钟</w:t>
            </w:r>
          </w:p>
        </w:tc>
        <w:tc>
          <w:tcPr>
            <w:tcW w:w="494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备注：（含以下服务）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提供技术设施(讲台、椅子)和水1桶；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提供电源，投影仪，音响，话筒等；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 提供会前的馆内广播通告.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主论坛穿插：30000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20分钟</w:t>
            </w:r>
          </w:p>
        </w:tc>
        <w:tc>
          <w:tcPr>
            <w:tcW w:w="494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招商部经理：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18500151444（微信）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邮箱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boyalitao@163.com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Q：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257886612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观众热线：400-885-6191</w:t>
      </w:r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color w:val="B50698"/>
        <w:sz w:val="15"/>
        <w:szCs w:val="21"/>
        <w:lang w:val="en-US" w:eastAsia="zh-CN"/>
      </w:rPr>
    </w:pPr>
    <w:r>
      <w:rPr>
        <w:rFonts w:hint="eastAsia" w:asciiTheme="minorEastAsia" w:hAnsiTheme="minorEastAsia" w:cstheme="minorEastAsia"/>
        <w:b w:val="0"/>
        <w:i w:val="0"/>
        <w:caps w:val="0"/>
        <w:color w:val="B50698"/>
        <w:spacing w:val="0"/>
        <w:sz w:val="21"/>
        <w:szCs w:val="21"/>
        <w:shd w:val="clear" w:fill="FFFFFF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bCs/>
        <w:color w:val="FF0000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885190</wp:posOffset>
              </wp:positionV>
              <wp:extent cx="866775" cy="21774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177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5pt;margin-top:69.7pt;height:171.45pt;width:68.25pt;z-index:251660288;mso-width-relative:page;mso-height-relative:page;" filled="f" stroked="f" coordsize="21600,21600" o:gfxdata="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Xirc2wAAAAsBAAAPAAAAAAAAAAEAIAAAACIAAABk&#10;cnMvZG93bnJldi54bWxQSwECFAAUAAAACACHTuJAiNnqkTwCAABm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</w:t>
    </w:r>
    <w:r>
      <w:rPr>
        <w:rFonts w:hint="eastAsia"/>
        <w:b/>
        <w:bCs/>
        <w:sz w:val="44"/>
        <w:szCs w:val="44"/>
      </w:rPr>
      <w:t xml:space="preserve">   </w:t>
    </w:r>
    <w:r>
      <w:rPr>
        <w:rFonts w:hint="eastAsia"/>
        <w:b/>
        <w:bCs/>
        <w:sz w:val="44"/>
        <w:szCs w:val="44"/>
        <w:lang w:val="en-US" w:eastAsia="zh-CN"/>
      </w:rPr>
      <w:t xml:space="preserve">   </w:t>
    </w:r>
    <w:r>
      <w:rPr>
        <w:rFonts w:hint="eastAsia"/>
        <w:b/>
        <w:bCs/>
        <w:color w:val="FF0000"/>
        <w:sz w:val="44"/>
        <w:szCs w:val="44"/>
      </w:rPr>
      <w:t>餐饮行业领先的专业盛会</w:t>
    </w:r>
  </w:p>
  <w:p>
    <w:pPr>
      <w:rPr>
        <w:rFonts w:hint="default" w:eastAsiaTheme="minorEastAsia"/>
        <w:b/>
        <w:bCs/>
        <w:color w:val="000000" w:themeColor="text1"/>
        <w:sz w:val="20"/>
        <w:szCs w:val="20"/>
        <w:lang w:val="en-US" w:eastAsia="zh-CN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tx1"/>
          </w14:solidFill>
        </w14:textFill>
        <w14:props3d w14:extrusionH="0" w14:contourW="0" w14:prstMaterial="clear"/>
      </w:rPr>
    </w:pPr>
    <w:r>
      <w:rPr>
        <w:rFonts w:hint="eastAsia"/>
        <w:lang w:val="en-US" w:eastAsia="zh-CN"/>
      </w:rPr>
      <w:t xml:space="preserve">                              </w:t>
    </w:r>
  </w:p>
  <w:p>
    <w:pPr>
      <w:pStyle w:val="4"/>
      <w:rPr>
        <w:sz w:val="2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6EF855"/>
    <w:multiLevelType w:val="singleLevel"/>
    <w:tmpl w:val="456EF85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ODY2YjYzZWJiNzJhY2I0NmE3ZjllNzA5MTAwZDUifQ=="/>
  </w:docVars>
  <w:rsids>
    <w:rsidRoot w:val="7F013D81"/>
    <w:rsid w:val="00D73766"/>
    <w:rsid w:val="0696261C"/>
    <w:rsid w:val="0CA81750"/>
    <w:rsid w:val="0EAA7F3C"/>
    <w:rsid w:val="0F916077"/>
    <w:rsid w:val="0F917E25"/>
    <w:rsid w:val="0FAA5F20"/>
    <w:rsid w:val="12D57C9F"/>
    <w:rsid w:val="13337B71"/>
    <w:rsid w:val="13CC58CF"/>
    <w:rsid w:val="19690451"/>
    <w:rsid w:val="1A397398"/>
    <w:rsid w:val="1BFD000F"/>
    <w:rsid w:val="1F4C5909"/>
    <w:rsid w:val="236A21EA"/>
    <w:rsid w:val="26C30562"/>
    <w:rsid w:val="283C7CCD"/>
    <w:rsid w:val="298218F2"/>
    <w:rsid w:val="2A197236"/>
    <w:rsid w:val="2CC203BF"/>
    <w:rsid w:val="2CDC497D"/>
    <w:rsid w:val="30687882"/>
    <w:rsid w:val="3810372D"/>
    <w:rsid w:val="3B3C1F15"/>
    <w:rsid w:val="3BFC7CDE"/>
    <w:rsid w:val="3EA328E0"/>
    <w:rsid w:val="431B4891"/>
    <w:rsid w:val="47961EA1"/>
    <w:rsid w:val="4DF53352"/>
    <w:rsid w:val="4F6E725F"/>
    <w:rsid w:val="547278C1"/>
    <w:rsid w:val="54B90F7D"/>
    <w:rsid w:val="552A3137"/>
    <w:rsid w:val="56F07805"/>
    <w:rsid w:val="5A0233C6"/>
    <w:rsid w:val="5BC528FD"/>
    <w:rsid w:val="5E671A49"/>
    <w:rsid w:val="658607CF"/>
    <w:rsid w:val="69256789"/>
    <w:rsid w:val="6A707ED8"/>
    <w:rsid w:val="6DC01176"/>
    <w:rsid w:val="75C37A55"/>
    <w:rsid w:val="7B4F7695"/>
    <w:rsid w:val="7CD63551"/>
    <w:rsid w:val="7CDC2BD6"/>
    <w:rsid w:val="7E3C2153"/>
    <w:rsid w:val="7EE527EB"/>
    <w:rsid w:val="7F0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2548</Words>
  <Characters>3025</Characters>
  <Lines>0</Lines>
  <Paragraphs>0</Paragraphs>
  <TotalTime>34</TotalTime>
  <ScaleCrop>false</ScaleCrop>
  <LinksUpToDate>false</LinksUpToDate>
  <CharactersWithSpaces>3352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2022-10-12T06:46:00Z</dcterms:created>
  <dc:creator>博亚展览李涛</dc:creator>
  <cp:lastModifiedBy>博亚展览李涛</cp:lastModifiedBy>
  <dcterms:modified xsi:type="dcterms:W3CDTF">2023-12-10T14:31:31Z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EDFB591D232D422298AE290D76D336E4_13</vt:lpwstr>
  </property>
</Properties>
</file>