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both"/>
        <w:rPr>
          <w:rFonts w:ascii="微软雅黑" w:hAnsi="微软雅黑" w:cs="微软雅黑" w:eastAsia="微软雅黑"/>
          <w:b/>
          <w:color w:val="002060"/>
          <w:spacing w:val="0"/>
          <w:position w:val="0"/>
          <w:sz w:val="24"/>
          <w:shd w:fill="auto" w:val="clear"/>
        </w:rPr>
      </w:pPr>
      <w:r>
        <w:object w:dxaOrig="11719" w:dyaOrig="12164">
          <v:rect xmlns:o="urn:schemas-microsoft-com:office:office" xmlns:v="urn:schemas-microsoft-com:vml" id="rectole0000000000" style="width:585.950000pt;height:60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845" w:dyaOrig="289">
          <v:rect xmlns:o="urn:schemas-microsoft-com:office:office" xmlns:v="urn:schemas-microsoft-com:vml" id="rectole0000000001" style="width:42.250000pt;height:14.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5482" w:dyaOrig="787">
          <v:rect xmlns:o="urn:schemas-microsoft-com:office:office" xmlns:v="urn:schemas-microsoft-com:vml" id="rectole0000000002" style="width:274.100000pt;height:39.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both"/>
        <w:rPr>
          <w:rFonts w:ascii="微软雅黑" w:hAnsi="微软雅黑" w:cs="微软雅黑" w:eastAsia="微软雅黑"/>
          <w:b/>
          <w:color w:val="002060"/>
          <w:spacing w:val="0"/>
          <w:position w:val="0"/>
          <w:sz w:val="24"/>
          <w:shd w:fill="auto" w:val="clear"/>
        </w:rPr>
      </w:pPr>
    </w:p>
    <w:p>
      <w:pPr>
        <w:spacing w:before="0" w:after="0" w:line="240"/>
        <w:ind w:right="0" w:left="0" w:firstLine="0"/>
        <w:jc w:val="both"/>
        <w:rPr>
          <w:rFonts w:ascii="微软雅黑" w:hAnsi="微软雅黑" w:cs="微软雅黑" w:eastAsia="微软雅黑"/>
          <w:b/>
          <w:color w:val="002060"/>
          <w:spacing w:val="0"/>
          <w:position w:val="0"/>
          <w:sz w:val="24"/>
          <w:shd w:fill="auto" w:val="clear"/>
        </w:rPr>
      </w:pPr>
    </w:p>
    <w:p>
      <w:pPr>
        <w:spacing w:before="0" w:after="0" w:line="240"/>
        <w:ind w:right="0" w:left="0" w:firstLine="0"/>
        <w:jc w:val="both"/>
        <w:rPr>
          <w:rFonts w:ascii="微软雅黑" w:hAnsi="微软雅黑" w:cs="微软雅黑" w:eastAsia="微软雅黑"/>
          <w:b/>
          <w:color w:val="002060"/>
          <w:spacing w:val="0"/>
          <w:position w:val="0"/>
          <w:sz w:val="24"/>
          <w:shd w:fill="auto" w:val="clear"/>
        </w:rPr>
      </w:pPr>
    </w:p>
    <w:p>
      <w:pPr>
        <w:spacing w:before="0" w:after="0" w:line="240"/>
        <w:ind w:right="0" w:left="0" w:firstLine="0"/>
        <w:jc w:val="both"/>
        <w:rPr>
          <w:rFonts w:ascii="微软雅黑" w:hAnsi="微软雅黑" w:cs="微软雅黑" w:eastAsia="微软雅黑"/>
          <w:b/>
          <w:color w:val="002060"/>
          <w:spacing w:val="0"/>
          <w:position w:val="0"/>
          <w:sz w:val="24"/>
          <w:shd w:fill="auto" w:val="clear"/>
        </w:rPr>
      </w:pPr>
    </w:p>
    <w:p>
      <w:pPr>
        <w:spacing w:before="0" w:after="0" w:line="240"/>
        <w:ind w:right="0" w:left="0" w:firstLine="0"/>
        <w:jc w:val="both"/>
        <w:rPr>
          <w:rFonts w:ascii="微软雅黑" w:hAnsi="微软雅黑" w:cs="微软雅黑" w:eastAsia="微软雅黑"/>
          <w:b/>
          <w:color w:val="002060"/>
          <w:spacing w:val="0"/>
          <w:position w:val="0"/>
          <w:sz w:val="24"/>
          <w:shd w:fill="auto" w:val="clear"/>
        </w:rPr>
      </w:pPr>
    </w:p>
    <w:p>
      <w:pPr>
        <w:spacing w:before="0" w:after="0" w:line="240"/>
        <w:ind w:right="0" w:left="0" w:firstLine="0"/>
        <w:jc w:val="both"/>
        <w:rPr>
          <w:rFonts w:ascii="微软雅黑" w:hAnsi="微软雅黑" w:cs="微软雅黑" w:eastAsia="微软雅黑"/>
          <w:b/>
          <w:color w:val="002060"/>
          <w:spacing w:val="0"/>
          <w:position w:val="0"/>
          <w:sz w:val="24"/>
          <w:shd w:fill="auto" w:val="clear"/>
        </w:rPr>
      </w:pPr>
    </w:p>
    <w:p>
      <w:pPr>
        <w:spacing w:before="0" w:after="0" w:line="240"/>
        <w:ind w:right="0" w:left="0" w:firstLine="0"/>
        <w:jc w:val="both"/>
        <w:rPr>
          <w:rFonts w:ascii="微软雅黑" w:hAnsi="微软雅黑" w:cs="微软雅黑" w:eastAsia="微软雅黑"/>
          <w:b/>
          <w:color w:val="002060"/>
          <w:spacing w:val="0"/>
          <w:position w:val="0"/>
          <w:sz w:val="24"/>
          <w:shd w:fill="auto" w:val="clear"/>
        </w:rPr>
      </w:pPr>
    </w:p>
    <w:p>
      <w:pPr>
        <w:spacing w:before="93" w:after="0" w:line="480"/>
        <w:ind w:right="0" w:left="0" w:firstLine="0"/>
        <w:jc w:val="both"/>
        <w:rPr>
          <w:rFonts w:ascii="Arial" w:hAnsi="Arial" w:cs="Arial" w:eastAsia="Arial"/>
          <w:color w:val="auto"/>
          <w:spacing w:val="0"/>
          <w:position w:val="0"/>
          <w:sz w:val="22"/>
          <w:shd w:fill="auto" w:val="clear"/>
        </w:rPr>
      </w:pPr>
    </w:p>
    <w:p>
      <w:pPr>
        <w:spacing w:before="93" w:after="0" w:line="400"/>
        <w:ind w:right="0" w:left="0" w:firstLine="0"/>
        <w:jc w:val="both"/>
        <w:rPr>
          <w:rFonts w:ascii="Arial" w:hAnsi="Arial" w:cs="Arial" w:eastAsia="Arial"/>
          <w:color w:val="auto"/>
          <w:spacing w:val="0"/>
          <w:position w:val="0"/>
          <w:sz w:val="22"/>
          <w:shd w:fill="auto" w:val="clear"/>
        </w:rPr>
      </w:pPr>
    </w:p>
    <w:p>
      <w:pPr>
        <w:spacing w:before="93" w:after="0" w:line="400"/>
        <w:ind w:right="0" w:left="0" w:firstLine="0"/>
        <w:jc w:val="both"/>
        <w:rPr>
          <w:rFonts w:ascii="Arial" w:hAnsi="Arial" w:cs="Arial" w:eastAsia="Arial"/>
          <w:color w:val="auto"/>
          <w:spacing w:val="0"/>
          <w:position w:val="0"/>
          <w:sz w:val="22"/>
          <w:shd w:fill="auto" w:val="clear"/>
        </w:rPr>
      </w:pPr>
    </w:p>
    <w:p>
      <w:pPr>
        <w:spacing w:before="93" w:after="0" w:line="400"/>
        <w:ind w:right="0" w:left="0" w:firstLine="0"/>
        <w:jc w:val="both"/>
        <w:rPr>
          <w:rFonts w:ascii="Arial" w:hAnsi="Arial" w:cs="Arial" w:eastAsia="Arial"/>
          <w:color w:val="auto"/>
          <w:spacing w:val="0"/>
          <w:position w:val="0"/>
          <w:sz w:val="22"/>
          <w:shd w:fill="auto" w:val="clear"/>
        </w:rPr>
      </w:pPr>
    </w:p>
    <w:p>
      <w:pPr>
        <w:tabs>
          <w:tab w:val="center" w:pos="4933" w:leader="none"/>
          <w:tab w:val="left" w:pos="7174" w:leader="none"/>
        </w:tabs>
        <w:spacing w:before="0" w:after="312" w:line="240"/>
        <w:ind w:right="0" w:left="0" w:firstLine="0"/>
        <w:jc w:val="left"/>
        <w:rPr>
          <w:rFonts w:ascii="Times New Roman" w:hAnsi="Times New Roman" w:cs="Times New Roman" w:eastAsia="Times New Roman"/>
          <w:b/>
          <w:color w:val="F85208"/>
          <w:spacing w:val="0"/>
          <w:position w:val="0"/>
          <w:sz w:val="40"/>
          <w:shd w:fill="auto" w:val="clear"/>
        </w:rPr>
      </w:pPr>
      <w:r>
        <w:rPr>
          <w:rFonts w:ascii="Times New Roman" w:hAnsi="Times New Roman" w:cs="Times New Roman" w:eastAsia="Times New Roman"/>
          <w:b/>
          <w:color w:val="F85208"/>
          <w:spacing w:val="0"/>
          <w:position w:val="0"/>
          <w:sz w:val="40"/>
          <w:shd w:fill="auto" w:val="clear"/>
        </w:rPr>
        <w:tab/>
      </w:r>
    </w:p>
    <w:p>
      <w:pPr>
        <w:tabs>
          <w:tab w:val="center" w:pos="4933" w:leader="none"/>
          <w:tab w:val="left" w:pos="7174" w:leader="none"/>
        </w:tabs>
        <w:spacing w:before="0" w:after="312" w:line="240"/>
        <w:ind w:right="0" w:left="0" w:firstLine="0"/>
        <w:jc w:val="left"/>
        <w:rPr>
          <w:rFonts w:ascii="Times New Roman" w:hAnsi="Times New Roman" w:cs="Times New Roman" w:eastAsia="Times New Roman"/>
          <w:b/>
          <w:color w:val="F85208"/>
          <w:spacing w:val="0"/>
          <w:position w:val="0"/>
          <w:sz w:val="40"/>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both"/>
        <w:rPr>
          <w:rFonts w:ascii="宋体" w:hAnsi="宋体" w:cs="宋体" w:eastAsia="宋体"/>
          <w:b/>
          <w:color w:val="EB6100"/>
          <w:spacing w:val="0"/>
          <w:position w:val="0"/>
          <w:sz w:val="30"/>
          <w:shd w:fill="auto" w:val="clear"/>
        </w:rPr>
      </w:pPr>
    </w:p>
    <w:p>
      <w:pPr>
        <w:spacing w:before="0" w:after="0" w:line="240"/>
        <w:ind w:right="0" w:left="0" w:firstLine="0"/>
        <w:jc w:val="both"/>
        <w:rPr>
          <w:rFonts w:ascii="宋体" w:hAnsi="宋体" w:cs="宋体" w:eastAsia="宋体"/>
          <w:b/>
          <w:color w:val="EB6100"/>
          <w:spacing w:val="0"/>
          <w:position w:val="0"/>
          <w:sz w:val="30"/>
          <w:shd w:fill="auto" w:val="clear"/>
        </w:rPr>
      </w:pPr>
      <w:r>
        <w:rPr>
          <w:rFonts w:ascii="宋体" w:hAnsi="宋体" w:cs="宋体" w:eastAsia="宋体"/>
          <w:b/>
          <w:color w:val="EB6100"/>
          <w:spacing w:val="0"/>
          <w:position w:val="0"/>
          <w:sz w:val="30"/>
          <w:shd w:fill="auto" w:val="clear"/>
        </w:rPr>
        <w:t xml:space="preserve">一、展会背景</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食品工业是我国国民经济的支柱产业，食品机械是为食品工业提供装备的行业。随着人们对饮食文化要求的提高与饭店、餐馆等餐饮业的繁荣兴旺，食品饮料酒水的质量与安全问题也日益受到社会各界的重视，直接带动了相关食品机械及包装产业的需求，同时也为中国食品机械行业市场提供了宝贵的发展机遇.</w:t>
      </w:r>
    </w:p>
    <w:p>
      <w:pPr>
        <w:spacing w:before="0" w:after="0" w:line="360"/>
        <w:ind w:right="0" w:left="0" w:firstLine="30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360"/>
        <w:ind w:right="0" w:left="0" w:firstLine="480"/>
        <w:jc w:val="both"/>
        <w:rPr>
          <w:rFonts w:ascii="宋体" w:hAnsi="宋体" w:cs="宋体" w:eastAsia="宋体"/>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1"/>
          <w:shd w:fill="auto" w:val="clear"/>
        </w:rPr>
      </w:pPr>
    </w:p>
    <w:p>
      <w:pPr>
        <w:spacing w:before="0" w:after="0" w:line="240"/>
        <w:ind w:right="0" w:left="0" w:firstLine="0"/>
        <w:jc w:val="both"/>
        <w:rPr>
          <w:rFonts w:ascii="Calibri" w:hAnsi="Calibri" w:cs="Calibri" w:eastAsia="Calibri"/>
          <w:b/>
          <w:color w:val="auto"/>
          <w:spacing w:val="0"/>
          <w:position w:val="0"/>
          <w:sz w:val="21"/>
          <w:shd w:fill="auto" w:val="clear"/>
        </w:rPr>
      </w:pPr>
    </w:p>
    <w:p>
      <w:pPr>
        <w:spacing w:before="0" w:after="0" w:line="240"/>
        <w:ind w:right="0" w:left="0" w:firstLine="0"/>
        <w:jc w:val="both"/>
        <w:rPr>
          <w:rFonts w:ascii="Calibri" w:hAnsi="Calibri" w:cs="Calibri" w:eastAsia="Calibri"/>
          <w:b/>
          <w:color w:val="auto"/>
          <w:spacing w:val="0"/>
          <w:position w:val="0"/>
          <w:sz w:val="21"/>
          <w:shd w:fill="auto" w:val="clear"/>
        </w:rPr>
      </w:pPr>
      <w:r>
        <w:rPr>
          <w:rFonts w:ascii="Calibri" w:hAnsi="Calibri" w:cs="Calibri" w:eastAsia="Calibri"/>
          <w:b/>
          <w:color w:val="auto"/>
          <w:spacing w:val="0"/>
          <w:position w:val="0"/>
          <w:sz w:val="21"/>
          <w:shd w:fill="auto" w:val="clear"/>
        </w:rPr>
        <w:t xml:space="preserve"> </w:t>
      </w:r>
    </w:p>
    <w:p>
      <w:pPr>
        <w:spacing w:before="0" w:after="0" w:line="240"/>
        <w:ind w:right="0" w:left="0" w:firstLine="0"/>
        <w:jc w:val="both"/>
        <w:rPr>
          <w:rFonts w:ascii="Calibri" w:hAnsi="Calibri" w:cs="Calibri" w:eastAsia="Calibri"/>
          <w:b/>
          <w:color w:val="auto"/>
          <w:spacing w:val="0"/>
          <w:position w:val="0"/>
          <w:sz w:val="21"/>
          <w:shd w:fill="auto" w:val="clear"/>
        </w:rPr>
      </w:pPr>
      <w:r>
        <w:rPr>
          <w:rFonts w:ascii="Calibri" w:hAnsi="Calibri" w:cs="Calibri" w:eastAsia="Calibri"/>
          <w:b/>
          <w:color w:val="auto"/>
          <w:spacing w:val="0"/>
          <w:position w:val="0"/>
          <w:sz w:val="21"/>
          <w:shd w:fill="auto" w:val="clear"/>
        </w:rPr>
        <w:t xml:space="preserve">  </w:t>
      </w:r>
    </w:p>
    <w:p>
      <w:pPr>
        <w:spacing w:before="0" w:after="0" w:line="240"/>
        <w:ind w:right="0" w:left="0" w:firstLine="0"/>
        <w:jc w:val="both"/>
        <w:rPr>
          <w:rFonts w:ascii="宋体" w:hAnsi="宋体" w:cs="宋体" w:eastAsia="宋体"/>
          <w:b/>
          <w:color w:val="EB6100"/>
          <w:spacing w:val="0"/>
          <w:position w:val="0"/>
          <w:sz w:val="30"/>
          <w:shd w:fill="auto" w:val="clear"/>
        </w:rPr>
      </w:pPr>
      <w:r>
        <w:rPr>
          <w:rFonts w:ascii="宋体" w:hAnsi="宋体" w:cs="宋体" w:eastAsia="宋体"/>
          <w:b/>
          <w:color w:val="EB6100"/>
          <w:spacing w:val="0"/>
          <w:position w:val="0"/>
          <w:sz w:val="30"/>
          <w:shd w:fill="auto" w:val="clear"/>
        </w:rPr>
        <w:t xml:space="preserve">二、展会介绍</w:t>
      </w:r>
    </w:p>
    <w:p>
      <w:pPr>
        <w:spacing w:before="0" w:after="0" w:line="560"/>
        <w:ind w:right="0" w:left="0" w:firstLine="560"/>
        <w:jc w:val="both"/>
        <w:rPr>
          <w:rFonts w:ascii="宋体" w:hAnsi="宋体" w:cs="宋体" w:eastAsia="宋体"/>
          <w:color w:val="auto"/>
          <w:spacing w:val="0"/>
          <w:position w:val="0"/>
          <w:sz w:val="28"/>
          <w:shd w:fill="000000" w:val="clear"/>
        </w:rPr>
      </w:pPr>
      <w:r>
        <w:rPr>
          <w:rFonts w:ascii="宋体" w:hAnsi="宋体" w:cs="宋体" w:eastAsia="宋体"/>
          <w:color w:val="auto"/>
          <w:spacing w:val="0"/>
          <w:position w:val="0"/>
          <w:sz w:val="28"/>
          <w:shd w:fill="000000" w:val="clear"/>
        </w:rPr>
        <w:t xml:space="preserve">2024中国（山东）国际包</w:t>
      </w:r>
      <w:r>
        <w:rPr>
          <w:rFonts w:ascii="宋体" w:hAnsi="宋体" w:cs="宋体" w:eastAsia="宋体"/>
          <w:color w:val="auto"/>
          <w:spacing w:val="0"/>
          <w:position w:val="0"/>
          <w:sz w:val="28"/>
          <w:shd w:fill="000000" w:val="clear"/>
        </w:rPr>
        <w:t xml:space="preserve">食品加工及</w:t>
      </w:r>
      <w:r>
        <w:rPr>
          <w:rFonts w:ascii="宋体" w:hAnsi="宋体" w:cs="宋体" w:eastAsia="宋体"/>
          <w:color w:val="auto"/>
          <w:spacing w:val="0"/>
          <w:position w:val="0"/>
          <w:sz w:val="28"/>
          <w:shd w:fill="000000" w:val="clear"/>
        </w:rPr>
        <w:t xml:space="preserve">装机械展览会将于2024年5月10-12日在山东国际会展中心（槐荫区）隆重举行。</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本届展会为更好地解读食品加工与包装技术及前沿发展趋势，帮助相关企业解决发展困惑，共享前沿发展成果，集结多位专家学者、企业代表，将召开多场高峰论坛和创新技术交流会，围绕智慧工厂、智能装备、一物一码、包装创新设计等行业热点，进行全面深度解读与构建。</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    同时为了提升专业买家的观展体验，满足多样化的市场需求，此次展会邀约食品加工包装全产业链覆盖，将涵盖国内外优秀企业的先进产品和技术，为食品、饮料、乳品、啤酒、肉制品、餐饮食材等行业提供一站式加工及包装解决方案。诚邀全球食品加工及包装机械厂家及相关配套行业客商齐聚美丽泉城，共襄盛会！</w:t>
      </w:r>
    </w:p>
    <w:p>
      <w:pPr>
        <w:spacing w:before="0" w:after="0" w:line="560"/>
        <w:ind w:right="0" w:left="0" w:firstLine="560"/>
        <w:jc w:val="both"/>
        <w:rPr>
          <w:rFonts w:ascii="宋体" w:hAnsi="宋体" w:cs="宋体" w:eastAsia="宋体"/>
          <w:color w:val="auto"/>
          <w:spacing w:val="0"/>
          <w:position w:val="0"/>
          <w:sz w:val="28"/>
          <w:shd w:fill="auto" w:val="clear"/>
        </w:rPr>
      </w:pPr>
    </w:p>
    <w:p>
      <w:pPr>
        <w:spacing w:before="0" w:after="0" w:line="240"/>
        <w:ind w:right="0" w:left="0" w:firstLine="0"/>
        <w:jc w:val="both"/>
        <w:rPr>
          <w:rFonts w:ascii="宋体" w:hAnsi="宋体" w:cs="宋体" w:eastAsia="宋体"/>
          <w:b/>
          <w:color w:val="EB6100"/>
          <w:spacing w:val="0"/>
          <w:position w:val="0"/>
          <w:sz w:val="30"/>
          <w:shd w:fill="auto" w:val="clear"/>
        </w:rPr>
      </w:pPr>
      <w:r>
        <w:rPr>
          <w:rFonts w:ascii="宋体" w:hAnsi="宋体" w:cs="宋体" w:eastAsia="宋体"/>
          <w:b/>
          <w:color w:val="EB6100"/>
          <w:spacing w:val="0"/>
          <w:position w:val="0"/>
          <w:sz w:val="30"/>
          <w:shd w:fill="auto" w:val="clear"/>
        </w:rPr>
        <w:t xml:space="preserve">三、关于中法合资高博中贸国际会展集团介绍</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中法合资-高博中贸国际会展集团，是在中法两国政府有关国际商务促进和市场管理部门的支持下，由全球领先的展览及会议主办集团——Comexposium法国高美艾博展览集团与中国著名的会展主办集团——中贸科技集团双方共同组建的中法合资企业。</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高博中贸国际会展集团下设高博中贸国际会展（山东）有限公司、高博中贸国际会展（南京）有限公司、安徽高博中贸会展有限公司、高博中贸国际会展（湖北）有限公司等合资子公司。双方整合资源共同做大做强食品加工及包装机械、食品、酒类行业展会，立足于国际化发展的战略布局，围绕加工及包装机械、食品酒类产业整合资源，以创新驱动的战略打造发展新引擎，打造全球影响力的食品加工及包装机械产业链展会。</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高博中贸国际会展集团以国际化视野，围绕国家“一带一路”战略，采取集团化发展及全球化布局的全面战略规划，通过整合全球资源，打造引领全球会展业的中国新模式。推动会展业转型升级，引领会展行业的创新发展，促进食品及食品产业链行业的快速发展，不断的开拓中国其他省、市、地区市场，布局新的国际市场。</w:t>
      </w:r>
    </w:p>
    <w:p>
      <w:pPr>
        <w:spacing w:before="312" w:after="156" w:line="400"/>
        <w:ind w:right="0" w:left="0" w:firstLine="0"/>
        <w:jc w:val="both"/>
        <w:rPr>
          <w:rFonts w:ascii="Calibri" w:hAnsi="Calibri" w:cs="Calibri" w:eastAsia="Calibri"/>
          <w:b/>
          <w:color w:val="EB6100"/>
          <w:spacing w:val="0"/>
          <w:position w:val="0"/>
          <w:sz w:val="30"/>
          <w:shd w:fill="auto" w:val="clear"/>
        </w:rPr>
      </w:pPr>
      <w:r>
        <w:rPr>
          <w:rFonts w:ascii="宋体" w:hAnsi="宋体" w:cs="宋体" w:eastAsia="宋体"/>
          <w:b/>
          <w:color w:val="EB6100"/>
          <w:spacing w:val="0"/>
          <w:position w:val="0"/>
          <w:sz w:val="30"/>
          <w:shd w:fill="auto" w:val="clear"/>
        </w:rPr>
        <w:t xml:space="preserve">四、日程安排</w:t>
      </w:r>
    </w:p>
    <w:tbl>
      <w:tblPr>
        <w:tblInd w:w="127" w:type="dxa"/>
      </w:tblPr>
      <w:tblGrid>
        <w:gridCol w:w="1936"/>
        <w:gridCol w:w="3558"/>
        <w:gridCol w:w="4333"/>
      </w:tblGrid>
      <w:tr>
        <w:trPr>
          <w:trHeight w:val="308" w:hRule="auto"/>
          <w:jc w:val="left"/>
        </w:trPr>
        <w:tc>
          <w:tcPr>
            <w:tcW w:w="1936"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布展时间:</w:t>
            </w:r>
          </w:p>
        </w:tc>
        <w:tc>
          <w:tcPr>
            <w:tcW w:w="3558"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2024年5月8-9日</w:t>
            </w:r>
          </w:p>
        </w:tc>
        <w:tc>
          <w:tcPr>
            <w:tcW w:w="4333"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8:30-18:00</w:t>
            </w:r>
          </w:p>
        </w:tc>
      </w:tr>
      <w:tr>
        <w:trPr>
          <w:trHeight w:val="281" w:hRule="auto"/>
          <w:jc w:val="left"/>
        </w:trPr>
        <w:tc>
          <w:tcPr>
            <w:tcW w:w="1936" w:type="dxa"/>
            <w:vMerge w:val="restart"/>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展览时间:</w:t>
            </w:r>
          </w:p>
        </w:tc>
        <w:tc>
          <w:tcPr>
            <w:tcW w:w="3558"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2024年5月10日-11日</w:t>
            </w:r>
          </w:p>
        </w:tc>
        <w:tc>
          <w:tcPr>
            <w:tcW w:w="4333"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9:00-16:30</w:t>
            </w:r>
          </w:p>
        </w:tc>
      </w:tr>
      <w:tr>
        <w:trPr>
          <w:trHeight w:val="90" w:hRule="auto"/>
          <w:jc w:val="left"/>
        </w:trPr>
        <w:tc>
          <w:tcPr>
            <w:tcW w:w="1936" w:type="dxa"/>
            <w:vMerge/>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200" w:line="240"/>
              <w:ind w:right="0" w:left="0" w:firstLine="0"/>
              <w:jc w:val="left"/>
              <w:rPr>
                <w:rFonts w:ascii="宋体" w:hAnsi="宋体" w:cs="宋体" w:eastAsia="宋体"/>
                <w:color w:val="auto"/>
                <w:spacing w:val="0"/>
                <w:position w:val="0"/>
                <w:sz w:val="22"/>
                <w:shd w:fill="auto" w:val="clear"/>
              </w:rPr>
            </w:pPr>
          </w:p>
        </w:tc>
        <w:tc>
          <w:tcPr>
            <w:tcW w:w="3558"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2024年5月12日</w:t>
            </w:r>
          </w:p>
        </w:tc>
        <w:tc>
          <w:tcPr>
            <w:tcW w:w="4333"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9:00-14:30</w:t>
            </w:r>
          </w:p>
        </w:tc>
      </w:tr>
      <w:tr>
        <w:trPr>
          <w:trHeight w:val="174" w:hRule="auto"/>
          <w:jc w:val="left"/>
        </w:trPr>
        <w:tc>
          <w:tcPr>
            <w:tcW w:w="1936"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撤展时间:</w:t>
            </w:r>
          </w:p>
        </w:tc>
        <w:tc>
          <w:tcPr>
            <w:tcW w:w="3558"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2024年5月12日</w:t>
            </w:r>
          </w:p>
        </w:tc>
        <w:tc>
          <w:tcPr>
            <w:tcW w:w="4333"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top"/>
          </w:tcPr>
          <w:p>
            <w:pPr>
              <w:spacing w:before="0" w:after="0" w:line="400"/>
              <w:ind w:right="0" w:left="0" w:firstLine="0"/>
              <w:jc w:val="both"/>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14:30以后</w:t>
            </w:r>
          </w:p>
        </w:tc>
      </w:tr>
    </w:tbl>
    <w:p>
      <w:pPr>
        <w:spacing w:before="0" w:after="0" w:line="240"/>
        <w:ind w:right="0" w:left="0" w:firstLine="0"/>
        <w:jc w:val="both"/>
        <w:rPr>
          <w:rFonts w:ascii="Calibri" w:hAnsi="Calibri" w:cs="Calibri" w:eastAsia="Calibri"/>
          <w:b/>
          <w:color w:val="EB6100"/>
          <w:spacing w:val="0"/>
          <w:position w:val="0"/>
          <w:sz w:val="24"/>
          <w:shd w:fill="auto" w:val="clear"/>
        </w:rPr>
      </w:pPr>
    </w:p>
    <w:p>
      <w:pPr>
        <w:spacing w:before="0" w:after="0" w:line="240"/>
        <w:ind w:right="0" w:left="0" w:firstLine="0"/>
        <w:jc w:val="both"/>
        <w:rPr>
          <w:rFonts w:ascii="Calibri" w:hAnsi="Calibri" w:cs="Calibri" w:eastAsia="Calibri"/>
          <w:b/>
          <w:color w:val="EB6100"/>
          <w:spacing w:val="0"/>
          <w:position w:val="0"/>
          <w:sz w:val="24"/>
          <w:shd w:fill="auto" w:val="clear"/>
        </w:rPr>
      </w:pPr>
    </w:p>
    <w:p>
      <w:pPr>
        <w:spacing w:before="0" w:after="0" w:line="240"/>
        <w:ind w:right="0" w:left="0" w:firstLine="0"/>
        <w:jc w:val="both"/>
        <w:rPr>
          <w:rFonts w:ascii="Calibri" w:hAnsi="Calibri" w:cs="Calibri" w:eastAsia="Calibri"/>
          <w:b/>
          <w:color w:val="EB6100"/>
          <w:spacing w:val="0"/>
          <w:position w:val="0"/>
          <w:sz w:val="30"/>
          <w:shd w:fill="auto" w:val="clear"/>
        </w:rPr>
      </w:pPr>
      <w:r>
        <w:rPr>
          <w:rFonts w:ascii="宋体" w:hAnsi="宋体" w:cs="宋体" w:eastAsia="宋体"/>
          <w:b/>
          <w:color w:val="EB6100"/>
          <w:spacing w:val="0"/>
          <w:position w:val="0"/>
          <w:sz w:val="30"/>
          <w:shd w:fill="auto" w:val="clear"/>
        </w:rPr>
        <w:t xml:space="preserve">五、参展范围</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1．</w:t>
      </w:r>
      <w:r>
        <w:rPr>
          <w:rFonts w:ascii="宋体" w:hAnsi="宋体" w:cs="宋体" w:eastAsia="宋体"/>
          <w:b/>
          <w:color w:val="auto"/>
          <w:spacing w:val="0"/>
          <w:position w:val="0"/>
          <w:sz w:val="28"/>
          <w:shd w:fill="auto" w:val="clear"/>
        </w:rPr>
        <w:t xml:space="preserve">食品加工机械：</w:t>
      </w:r>
      <w:r>
        <w:rPr>
          <w:rFonts w:ascii="宋体" w:hAnsi="宋体" w:cs="宋体" w:eastAsia="宋体"/>
          <w:color w:val="auto"/>
          <w:spacing w:val="0"/>
          <w:position w:val="0"/>
          <w:sz w:val="28"/>
          <w:shd w:fill="auto" w:val="clear"/>
        </w:rPr>
        <w:t xml:space="preserve">肉类加工机械、屠宰机械、调味品机械、休闲食品机械、罐头加工机械、饮料机械、果蔬机械、乳品机械、酿酒设备、冷饮设备、方便食品设备、油酥点心设备、糖果机械、烹煮设备、花生机械、米面机械、豆制品机械、农产品加工设备、添加剂加工机械、油脂深加工设备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2．</w:t>
      </w:r>
      <w:r>
        <w:rPr>
          <w:rFonts w:ascii="宋体" w:hAnsi="宋体" w:cs="宋体" w:eastAsia="宋体"/>
          <w:b/>
          <w:color w:val="auto"/>
          <w:spacing w:val="0"/>
          <w:position w:val="0"/>
          <w:sz w:val="28"/>
          <w:shd w:fill="auto" w:val="clear"/>
        </w:rPr>
        <w:t xml:space="preserve">加工工艺设备：</w:t>
      </w:r>
      <w:r>
        <w:rPr>
          <w:rFonts w:ascii="宋体" w:hAnsi="宋体" w:cs="宋体" w:eastAsia="宋体"/>
          <w:color w:val="auto"/>
          <w:spacing w:val="0"/>
          <w:position w:val="0"/>
          <w:sz w:val="28"/>
          <w:shd w:fill="auto" w:val="clear"/>
        </w:rPr>
        <w:t xml:space="preserve">分选及清洗机械、研磨及分类机械、搅拌机械、均质机、浓缩设备、干燥设备、净化设备、杀菌设备、消毒机械、煎炸机械、烘焙机械、检测设备、冷冻冷藏及保鲜设备等；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3．</w:t>
      </w:r>
      <w:r>
        <w:rPr>
          <w:rFonts w:ascii="宋体" w:hAnsi="宋体" w:cs="宋体" w:eastAsia="宋体"/>
          <w:b/>
          <w:color w:val="auto"/>
          <w:spacing w:val="0"/>
          <w:position w:val="0"/>
          <w:sz w:val="28"/>
          <w:shd w:fill="auto" w:val="clear"/>
        </w:rPr>
        <w:t xml:space="preserve">食品包装机械：</w:t>
      </w:r>
      <w:r>
        <w:rPr>
          <w:rFonts w:ascii="宋体" w:hAnsi="宋体" w:cs="宋体" w:eastAsia="宋体"/>
          <w:color w:val="auto"/>
          <w:spacing w:val="0"/>
          <w:position w:val="0"/>
          <w:sz w:val="28"/>
          <w:shd w:fill="auto" w:val="clear"/>
        </w:rPr>
        <w:t xml:space="preserve">打包机械、真空包装机、颗粒/粉末自动包装机、液体灌装机、膏体包装机械、酱类灌装机械、自动包装机、成型—填充—封口机械、裹包机械、泡罩包装机、捆扎打包机械、复合软包机械、容器制造与成型设备、后道包装、智能工厂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4．</w:t>
      </w:r>
      <w:r>
        <w:rPr>
          <w:rFonts w:ascii="宋体" w:hAnsi="宋体" w:cs="宋体" w:eastAsia="宋体"/>
          <w:b/>
          <w:color w:val="auto"/>
          <w:spacing w:val="0"/>
          <w:position w:val="0"/>
          <w:sz w:val="28"/>
          <w:shd w:fill="auto" w:val="clear"/>
        </w:rPr>
        <w:t xml:space="preserve">辅助生产设备：</w:t>
      </w:r>
      <w:r>
        <w:rPr>
          <w:rFonts w:ascii="宋体" w:hAnsi="宋体" w:cs="宋体" w:eastAsia="宋体"/>
          <w:color w:val="auto"/>
          <w:spacing w:val="0"/>
          <w:position w:val="0"/>
          <w:sz w:val="28"/>
          <w:shd w:fill="auto" w:val="clear"/>
        </w:rPr>
        <w:t xml:space="preserve">包装机械记数、分类、装盒、装箱、装瓶、封口、封盖、称重、打包、贴标、打标、编码、输送设备等；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5．</w:t>
      </w:r>
      <w:r>
        <w:rPr>
          <w:rFonts w:ascii="宋体" w:hAnsi="宋体" w:cs="宋体" w:eastAsia="宋体"/>
          <w:b/>
          <w:color w:val="auto"/>
          <w:spacing w:val="0"/>
          <w:position w:val="0"/>
          <w:sz w:val="28"/>
          <w:shd w:fill="auto" w:val="clear"/>
        </w:rPr>
        <w:t xml:space="preserve">包装材料及制品：</w:t>
      </w:r>
      <w:r>
        <w:rPr>
          <w:rFonts w:ascii="宋体" w:hAnsi="宋体" w:cs="宋体" w:eastAsia="宋体"/>
          <w:color w:val="auto"/>
          <w:spacing w:val="0"/>
          <w:position w:val="0"/>
          <w:sz w:val="28"/>
          <w:shd w:fill="auto" w:val="clear"/>
        </w:rPr>
        <w:t xml:space="preserve">模具设备、薄膜、铝箔类、泡沫塑膜、胶带、粘合剂、打包带、木制品、各种包装材料/制品/容器、塑料/纸板/金属/玻璃包装、可保鲜环保餐具、纸浆膜塑等；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6. </w:t>
      </w:r>
      <w:r>
        <w:rPr>
          <w:rFonts w:ascii="宋体" w:hAnsi="宋体" w:cs="宋体" w:eastAsia="宋体"/>
          <w:b/>
          <w:color w:val="auto"/>
          <w:spacing w:val="0"/>
          <w:position w:val="0"/>
          <w:sz w:val="28"/>
          <w:shd w:fill="auto" w:val="clear"/>
        </w:rPr>
        <w:t xml:space="preserve">标签及软包装：</w:t>
      </w:r>
      <w:r>
        <w:rPr>
          <w:rFonts w:ascii="宋体" w:hAnsi="宋体" w:cs="宋体" w:eastAsia="宋体"/>
          <w:color w:val="auto"/>
          <w:spacing w:val="0"/>
          <w:position w:val="0"/>
          <w:sz w:val="28"/>
          <w:shd w:fill="auto" w:val="clear"/>
        </w:rPr>
        <w:t xml:space="preserve">标签和印刷设备、物料供应、设备零配件、软包装印刷设备等；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7. </w:t>
      </w:r>
      <w:r>
        <w:rPr>
          <w:rFonts w:ascii="宋体" w:hAnsi="宋体" w:cs="宋体" w:eastAsia="宋体"/>
          <w:b/>
          <w:color w:val="auto"/>
          <w:spacing w:val="0"/>
          <w:position w:val="0"/>
          <w:sz w:val="28"/>
          <w:shd w:fill="auto" w:val="clear"/>
        </w:rPr>
        <w:t xml:space="preserve">机器人与自动化：</w:t>
      </w:r>
      <w:r>
        <w:rPr>
          <w:rFonts w:ascii="宋体" w:hAnsi="宋体" w:cs="宋体" w:eastAsia="宋体"/>
          <w:color w:val="auto"/>
          <w:spacing w:val="0"/>
          <w:position w:val="0"/>
          <w:sz w:val="28"/>
          <w:shd w:fill="auto" w:val="clear"/>
        </w:rPr>
        <w:t xml:space="preserve">工业机器人、工业自动化、自动售货机、视觉、传感及传动装置，智能仓储/物流等；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8．</w:t>
      </w:r>
      <w:r>
        <w:rPr>
          <w:rFonts w:ascii="宋体" w:hAnsi="宋体" w:cs="宋体" w:eastAsia="宋体"/>
          <w:b/>
          <w:color w:val="auto"/>
          <w:spacing w:val="0"/>
          <w:position w:val="0"/>
          <w:sz w:val="28"/>
          <w:shd w:fill="auto" w:val="clear"/>
        </w:rPr>
        <w:t xml:space="preserve">物流包装：</w:t>
      </w:r>
      <w:r>
        <w:rPr>
          <w:rFonts w:ascii="宋体" w:hAnsi="宋体" w:cs="宋体" w:eastAsia="宋体"/>
          <w:color w:val="auto"/>
          <w:spacing w:val="0"/>
          <w:position w:val="0"/>
          <w:sz w:val="28"/>
          <w:shd w:fill="auto" w:val="clear"/>
        </w:rPr>
        <w:t xml:space="preserve">物流包装技术、标签标识、码垛机、AGV物流设备及系统等；</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9. </w:t>
      </w:r>
      <w:r>
        <w:rPr>
          <w:rFonts w:ascii="宋体" w:hAnsi="宋体" w:cs="宋体" w:eastAsia="宋体"/>
          <w:b/>
          <w:color w:val="auto"/>
          <w:spacing w:val="0"/>
          <w:position w:val="0"/>
          <w:sz w:val="28"/>
          <w:shd w:fill="auto" w:val="clear"/>
        </w:rPr>
        <w:t xml:space="preserve">食品管理和服务系统：</w:t>
      </w:r>
      <w:r>
        <w:rPr>
          <w:rFonts w:ascii="宋体" w:hAnsi="宋体" w:cs="宋体" w:eastAsia="宋体"/>
          <w:color w:val="auto"/>
          <w:spacing w:val="0"/>
          <w:position w:val="0"/>
          <w:sz w:val="28"/>
          <w:shd w:fill="auto" w:val="clear"/>
        </w:rPr>
        <w:t xml:space="preserve">食品测试仪器、食品工程设计、实验设备、洁净技术、水处理设备、数据管理、网络媒体等。</w:t>
      </w:r>
    </w:p>
    <w:p>
      <w:pPr>
        <w:spacing w:before="0" w:after="0" w:line="560"/>
        <w:ind w:right="0" w:left="0" w:firstLine="560"/>
        <w:jc w:val="both"/>
        <w:rPr>
          <w:rFonts w:ascii="宋体" w:hAnsi="宋体" w:cs="宋体" w:eastAsia="宋体"/>
          <w:color w:val="auto"/>
          <w:spacing w:val="0"/>
          <w:position w:val="0"/>
          <w:sz w:val="28"/>
          <w:shd w:fill="auto" w:val="clear"/>
        </w:rPr>
      </w:pPr>
    </w:p>
    <w:p>
      <w:pPr>
        <w:spacing w:before="0" w:after="0" w:line="240"/>
        <w:ind w:right="0" w:left="0" w:firstLine="0"/>
        <w:jc w:val="both"/>
        <w:rPr>
          <w:rFonts w:ascii="Calibri" w:hAnsi="Calibri" w:cs="Calibri" w:eastAsia="Calibri"/>
          <w:color w:val="EB6100"/>
          <w:spacing w:val="0"/>
          <w:position w:val="0"/>
          <w:sz w:val="30"/>
          <w:shd w:fill="auto" w:val="clear"/>
        </w:rPr>
      </w:pPr>
      <w:r>
        <w:rPr>
          <w:rFonts w:ascii="宋体" w:hAnsi="宋体" w:cs="宋体" w:eastAsia="宋体"/>
          <w:b/>
          <w:color w:val="EB6100"/>
          <w:spacing w:val="0"/>
          <w:position w:val="0"/>
          <w:sz w:val="30"/>
          <w:shd w:fill="auto" w:val="clear"/>
        </w:rPr>
        <w:t xml:space="preserve">六、宣传方案</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1、广泛媒体宣传:通过专业杂志、报刊、互联网、新媒体等及时发布展会广告及信息.</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2、展会宣传:参加全国各地的相关展览会、广泛散发资料、吸引潜在用户扩大展会宣传.</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3、主办单位邀请:通过主办单位独有平台邀请行业协会和团体、科研单位和院校等组织专业人士观展.</w:t>
      </w:r>
    </w:p>
    <w:p>
      <w:pPr>
        <w:spacing w:before="0" w:after="0" w:line="560"/>
        <w:ind w:right="0" w:left="0" w:firstLine="56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4、寄发参观券:通过各种渠道发放十万张参观券/展会邀请函。</w:t>
      </w:r>
    </w:p>
    <w:p>
      <w:pPr>
        <w:spacing w:before="0" w:after="0" w:line="240"/>
        <w:ind w:right="0" w:left="0" w:firstLine="0"/>
        <w:jc w:val="both"/>
        <w:rPr>
          <w:rFonts w:ascii="宋体" w:hAnsi="宋体" w:cs="宋体" w:eastAsia="宋体"/>
          <w:color w:val="auto"/>
          <w:spacing w:val="0"/>
          <w:position w:val="0"/>
          <w:sz w:val="24"/>
          <w:shd w:fill="auto" w:val="clear"/>
        </w:rPr>
      </w:pPr>
    </w:p>
    <w:p>
      <w:pPr>
        <w:spacing w:before="0" w:after="0" w:line="240"/>
        <w:ind w:right="0" w:left="0" w:firstLine="0"/>
        <w:jc w:val="both"/>
        <w:rPr>
          <w:rFonts w:ascii="Calibri" w:hAnsi="Calibri" w:cs="Calibri" w:eastAsia="Calibri"/>
          <w:b/>
          <w:color w:val="EB6100"/>
          <w:spacing w:val="0"/>
          <w:position w:val="0"/>
          <w:sz w:val="30"/>
          <w:shd w:fill="auto" w:val="clear"/>
        </w:rPr>
      </w:pPr>
      <w:r>
        <w:rPr>
          <w:rFonts w:ascii="宋体" w:hAnsi="宋体" w:cs="宋体" w:eastAsia="宋体"/>
          <w:b/>
          <w:color w:val="EB6100"/>
          <w:spacing w:val="0"/>
          <w:position w:val="0"/>
          <w:sz w:val="30"/>
          <w:shd w:fill="auto" w:val="clear"/>
        </w:rPr>
        <w:t xml:space="preserve">七、拟邀部分企业</w:t>
      </w:r>
    </w:p>
    <w:p>
      <w:pPr>
        <w:spacing w:before="0" w:after="0" w:line="240"/>
        <w:ind w:right="0" w:left="0" w:firstLine="0"/>
        <w:jc w:val="both"/>
        <w:rPr>
          <w:rFonts w:ascii="宋体" w:hAnsi="宋体" w:cs="宋体" w:eastAsia="宋体"/>
          <w:b/>
          <w:color w:val="auto"/>
          <w:spacing w:val="0"/>
          <w:position w:val="0"/>
          <w:sz w:val="28"/>
          <w:shd w:fill="auto" w:val="clear"/>
        </w:rPr>
      </w:pPr>
      <w:r>
        <w:rPr>
          <w:rFonts w:ascii="宋体" w:hAnsi="宋体" w:cs="宋体" w:eastAsia="宋体"/>
          <w:b/>
          <w:color w:val="auto"/>
          <w:spacing w:val="0"/>
          <w:position w:val="0"/>
          <w:sz w:val="28"/>
          <w:shd w:fill="auto" w:val="clear"/>
        </w:rPr>
        <w:t xml:space="preserve">食品：</w:t>
      </w:r>
    </w:p>
    <w:p>
      <w:pPr>
        <w:spacing w:before="0" w:after="0" w:line="56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肯德基、桂冠、旺旺、海底捞、雨润、红宝石、统一、味全、不二味铜锣烧、老盛昌、桃李、清美、百卡佛、芭比馒头、今麦郎、好丽友、波力、喔喔、金锣、巴比、丰收日、紫燕等。</w:t>
      </w:r>
    </w:p>
    <w:p>
      <w:pPr>
        <w:spacing w:before="0" w:after="0" w:line="240"/>
        <w:ind w:right="0" w:left="0" w:firstLine="0"/>
        <w:jc w:val="both"/>
        <w:rPr>
          <w:rFonts w:ascii="宋体" w:hAnsi="宋体" w:cs="宋体" w:eastAsia="宋体"/>
          <w:b/>
          <w:color w:val="auto"/>
          <w:spacing w:val="0"/>
          <w:position w:val="0"/>
          <w:sz w:val="28"/>
          <w:shd w:fill="auto" w:val="clear"/>
        </w:rPr>
      </w:pPr>
      <w:r>
        <w:rPr>
          <w:rFonts w:ascii="宋体" w:hAnsi="宋体" w:cs="宋体" w:eastAsia="宋体"/>
          <w:b/>
          <w:color w:val="auto"/>
          <w:spacing w:val="0"/>
          <w:position w:val="0"/>
          <w:sz w:val="28"/>
          <w:shd w:fill="auto" w:val="clear"/>
        </w:rPr>
        <w:t xml:space="preserve">糖果零食：</w:t>
      </w:r>
    </w:p>
    <w:p>
      <w:pPr>
        <w:spacing w:before="0" w:after="0" w:line="56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冠生园、上好佳、箭牌、洽洽、徐福记、费列罗、百草味、三只松鼠、良品铺子、来伊份、大白兔、金丝猴、吉列、德芙、阿尔卑斯、雅客、金冠等。</w:t>
      </w:r>
    </w:p>
    <w:p>
      <w:pPr>
        <w:spacing w:before="0" w:after="0" w:line="240"/>
        <w:ind w:right="0" w:left="0" w:firstLine="0"/>
        <w:jc w:val="both"/>
        <w:rPr>
          <w:rFonts w:ascii="宋体" w:hAnsi="宋体" w:cs="宋体" w:eastAsia="宋体"/>
          <w:b/>
          <w:color w:val="auto"/>
          <w:spacing w:val="0"/>
          <w:position w:val="0"/>
          <w:sz w:val="28"/>
          <w:shd w:fill="auto" w:val="clear"/>
        </w:rPr>
      </w:pPr>
      <w:r>
        <w:rPr>
          <w:rFonts w:ascii="宋体" w:hAnsi="宋体" w:cs="宋体" w:eastAsia="宋体"/>
          <w:b/>
          <w:color w:val="auto"/>
          <w:spacing w:val="0"/>
          <w:position w:val="0"/>
          <w:sz w:val="28"/>
          <w:shd w:fill="auto" w:val="clear"/>
        </w:rPr>
        <w:t xml:space="preserve">调味品：</w:t>
      </w:r>
    </w:p>
    <w:p>
      <w:pPr>
        <w:spacing w:before="0" w:after="0" w:line="56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味之素、海天、恒顺、好侍、李锦记、欣和、太太乐、老干妈、老干爹、王致和、厨邦、王守义、四美、味好美、味事达、金冠园、加加、味加味、川崎等。</w:t>
      </w:r>
    </w:p>
    <w:p>
      <w:pPr>
        <w:spacing w:before="0" w:after="0" w:line="240"/>
        <w:ind w:right="0" w:left="0" w:firstLine="0"/>
        <w:jc w:val="both"/>
        <w:rPr>
          <w:rFonts w:ascii="宋体" w:hAnsi="宋体" w:cs="宋体" w:eastAsia="宋体"/>
          <w:b/>
          <w:color w:val="auto"/>
          <w:spacing w:val="0"/>
          <w:position w:val="0"/>
          <w:sz w:val="28"/>
          <w:shd w:fill="auto" w:val="clear"/>
        </w:rPr>
      </w:pPr>
      <w:r>
        <w:rPr>
          <w:rFonts w:ascii="宋体" w:hAnsi="宋体" w:cs="宋体" w:eastAsia="宋体"/>
          <w:b/>
          <w:color w:val="auto"/>
          <w:spacing w:val="0"/>
          <w:position w:val="0"/>
          <w:sz w:val="28"/>
          <w:shd w:fill="auto" w:val="clear"/>
        </w:rPr>
        <w:t xml:space="preserve">乳品：</w:t>
      </w:r>
    </w:p>
    <w:p>
      <w:pPr>
        <w:spacing w:before="0" w:after="0" w:line="56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贝因美、光明、君乐宝、明治、伊利、蒙牛、雀巢、优诺、卫岗、纽迪希亚、美素佳儿、雅培、达诺、飞鹤、美赞臣、和路雪、娃哈哈、好孩儿、三元等。</w:t>
      </w:r>
    </w:p>
    <w:p>
      <w:pPr>
        <w:spacing w:before="0" w:after="0" w:line="240"/>
        <w:ind w:right="0" w:left="0" w:firstLine="0"/>
        <w:jc w:val="both"/>
        <w:rPr>
          <w:rFonts w:ascii="宋体" w:hAnsi="宋体" w:cs="宋体" w:eastAsia="宋体"/>
          <w:b/>
          <w:color w:val="auto"/>
          <w:spacing w:val="0"/>
          <w:position w:val="0"/>
          <w:sz w:val="28"/>
          <w:shd w:fill="auto" w:val="clear"/>
        </w:rPr>
      </w:pPr>
      <w:r>
        <w:rPr>
          <w:rFonts w:ascii="宋体" w:hAnsi="宋体" w:cs="宋体" w:eastAsia="宋体"/>
          <w:b/>
          <w:color w:val="auto"/>
          <w:spacing w:val="0"/>
          <w:position w:val="0"/>
          <w:sz w:val="28"/>
          <w:shd w:fill="auto" w:val="clear"/>
        </w:rPr>
        <w:t xml:space="preserve">酒/饮料：  </w:t>
      </w:r>
    </w:p>
    <w:p>
      <w:pPr>
        <w:spacing w:before="0" w:after="0" w:line="56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古井贡酒、 江苏洋河、今世缘、可口可乐、农夫山泉、三得利、统一、味全、香飘飘、养乐多、正广和、怡宝、劲牌、加多宝、青岛啤酒、雪花啤酒、百事、达能、红牛、乐百氏、飞天盛世、康师傅等。</w:t>
      </w:r>
    </w:p>
    <w:p>
      <w:pPr>
        <w:spacing w:before="0" w:after="0" w:line="240"/>
        <w:ind w:right="0" w:left="0" w:firstLine="0"/>
        <w:jc w:val="both"/>
        <w:rPr>
          <w:rFonts w:ascii="Calibri" w:hAnsi="Calibri" w:cs="Calibri" w:eastAsia="Calibri"/>
          <w:color w:val="auto"/>
          <w:spacing w:val="0"/>
          <w:position w:val="0"/>
          <w:sz w:val="24"/>
          <w:shd w:fill="auto" w:val="clear"/>
        </w:rPr>
      </w:pPr>
    </w:p>
    <w:p>
      <w:pPr>
        <w:numPr>
          <w:ilvl w:val="0"/>
          <w:numId w:val="42"/>
        </w:numPr>
        <w:spacing w:before="0" w:after="0" w:line="240"/>
        <w:ind w:right="0" w:left="0" w:firstLine="0"/>
        <w:jc w:val="both"/>
        <w:rPr>
          <w:rFonts w:ascii="Calibri" w:hAnsi="Calibri" w:cs="Calibri" w:eastAsia="Calibri"/>
          <w:b/>
          <w:color w:val="EB6100"/>
          <w:spacing w:val="0"/>
          <w:position w:val="0"/>
          <w:sz w:val="30"/>
          <w:shd w:fill="auto" w:val="clear"/>
        </w:rPr>
      </w:pPr>
      <w:r>
        <w:rPr>
          <w:rFonts w:ascii="宋体" w:hAnsi="宋体" w:cs="宋体" w:eastAsia="宋体"/>
          <w:b/>
          <w:color w:val="EB6100"/>
          <w:spacing w:val="0"/>
          <w:position w:val="0"/>
          <w:sz w:val="30"/>
          <w:shd w:fill="auto" w:val="clear"/>
        </w:rPr>
        <w:t xml:space="preserve">收费标准</w:t>
      </w:r>
    </w:p>
    <w:tbl>
      <w:tblPr/>
      <w:tblGrid>
        <w:gridCol w:w="1099"/>
        <w:gridCol w:w="422"/>
        <w:gridCol w:w="887"/>
        <w:gridCol w:w="589"/>
        <w:gridCol w:w="971"/>
        <w:gridCol w:w="877"/>
        <w:gridCol w:w="593"/>
        <w:gridCol w:w="1545"/>
        <w:gridCol w:w="1605"/>
        <w:gridCol w:w="1952"/>
        <w:gridCol w:w="30"/>
      </w:tblGrid>
      <w:tr>
        <w:trPr>
          <w:trHeight w:val="771" w:hRule="auto"/>
          <w:jc w:val="left"/>
        </w:trPr>
        <w:tc>
          <w:tcPr>
            <w:tcW w:w="1521"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240"/>
              <w:ind w:right="0" w:left="0" w:firstLine="0"/>
              <w:jc w:val="center"/>
              <w:rPr>
                <w:rFonts w:ascii="微软雅黑" w:hAnsi="微软雅黑" w:cs="微软雅黑" w:eastAsia="微软雅黑"/>
                <w:color w:val="auto"/>
                <w:spacing w:val="0"/>
                <w:position w:val="0"/>
                <w:sz w:val="21"/>
                <w:shd w:fill="auto" w:val="clear"/>
              </w:rPr>
            </w:pPr>
            <w:r>
              <w:rPr>
                <w:rFonts w:ascii="微软雅黑" w:hAnsi="微软雅黑" w:cs="微软雅黑" w:eastAsia="微软雅黑"/>
                <w:color w:val="auto"/>
                <w:spacing w:val="0"/>
                <w:position w:val="0"/>
                <w:sz w:val="21"/>
                <w:shd w:fill="auto" w:val="clear"/>
              </w:rPr>
              <w:t xml:space="preserve">展位类型</w:t>
            </w:r>
          </w:p>
          <w:p>
            <w:pPr>
              <w:widowControl w:val="false"/>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Booth Type</w:t>
            </w: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展位面积Booth Area</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240"/>
              <w:ind w:right="0" w:left="0" w:firstLine="0"/>
              <w:jc w:val="center"/>
              <w:rPr>
                <w:rFonts w:ascii="微软雅黑" w:hAnsi="微软雅黑" w:cs="微软雅黑" w:eastAsia="微软雅黑"/>
                <w:color w:val="auto"/>
                <w:spacing w:val="0"/>
                <w:position w:val="0"/>
                <w:sz w:val="21"/>
                <w:shd w:fill="auto" w:val="clear"/>
              </w:rPr>
            </w:pPr>
            <w:r>
              <w:rPr>
                <w:rFonts w:ascii="微软雅黑" w:hAnsi="微软雅黑" w:cs="微软雅黑" w:eastAsia="微软雅黑"/>
                <w:color w:val="auto"/>
                <w:spacing w:val="0"/>
                <w:position w:val="0"/>
                <w:sz w:val="21"/>
                <w:shd w:fill="auto" w:val="clear"/>
              </w:rPr>
              <w:t xml:space="preserve">展位价格</w:t>
            </w:r>
          </w:p>
          <w:p>
            <w:pPr>
              <w:widowControl w:val="false"/>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Booth Price/ RMB </w:t>
            </w:r>
          </w:p>
        </w:tc>
        <w:tc>
          <w:tcPr>
            <w:tcW w:w="5695"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展位配置</w:t>
            </w:r>
          </w:p>
        </w:tc>
      </w:tr>
      <w:tr>
        <w:trPr>
          <w:trHeight w:val="625" w:hRule="auto"/>
          <w:jc w:val="left"/>
        </w:trPr>
        <w:tc>
          <w:tcPr>
            <w:tcW w:w="1521"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rFonts w:ascii="微软雅黑" w:hAnsi="微软雅黑" w:cs="微软雅黑" w:eastAsia="微软雅黑"/>
                <w:color w:val="auto"/>
                <w:spacing w:val="0"/>
                <w:position w:val="0"/>
                <w:sz w:val="21"/>
                <w:shd w:fill="auto" w:val="clear"/>
              </w:rPr>
            </w:pPr>
            <w:r>
              <w:rPr>
                <w:rFonts w:ascii="微软雅黑" w:hAnsi="微软雅黑" w:cs="微软雅黑" w:eastAsia="微软雅黑"/>
                <w:color w:val="auto"/>
                <w:spacing w:val="0"/>
                <w:position w:val="0"/>
                <w:sz w:val="21"/>
                <w:shd w:fill="auto" w:val="clear"/>
              </w:rPr>
              <w:t xml:space="preserve">T类</w:t>
            </w:r>
          </w:p>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特装光地</w:t>
            </w:r>
          </w:p>
        </w:tc>
        <w:tc>
          <w:tcPr>
            <w:tcW w:w="3324"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¥1000/㎡</w:t>
            </w:r>
          </w:p>
        </w:tc>
        <w:tc>
          <w:tcPr>
            <w:tcW w:w="5695"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210"/>
              <w:jc w:val="left"/>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36㎡起租,不含任何展具，需搭建</w:t>
            </w:r>
          </w:p>
        </w:tc>
      </w:tr>
      <w:tr>
        <w:trPr>
          <w:trHeight w:val="525" w:hRule="auto"/>
          <w:jc w:val="left"/>
        </w:trPr>
        <w:tc>
          <w:tcPr>
            <w:tcW w:w="1521"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A类简特展位</w:t>
            </w: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18㎡</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19800/18㎡</w:t>
            </w:r>
          </w:p>
        </w:tc>
        <w:tc>
          <w:tcPr>
            <w:tcW w:w="5695"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spacing w:before="0" w:after="0" w:line="320"/>
              <w:ind w:right="0" w:left="0" w:firstLine="210"/>
              <w:jc w:val="left"/>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型材搭建，KT板楣板，2套玻璃桌椅，1套接待桌</w:t>
            </w:r>
          </w:p>
        </w:tc>
      </w:tr>
      <w:tr>
        <w:trPr>
          <w:trHeight w:val="525" w:hRule="auto"/>
          <w:jc w:val="left"/>
        </w:trPr>
        <w:tc>
          <w:tcPr>
            <w:tcW w:w="1521" w:type="dxa"/>
            <w:gridSpan w:val="2"/>
            <w:vMerge w:val="restart"/>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rFonts w:ascii="微软雅黑" w:hAnsi="微软雅黑" w:cs="微软雅黑" w:eastAsia="微软雅黑"/>
                <w:color w:val="auto"/>
                <w:spacing w:val="0"/>
                <w:position w:val="0"/>
                <w:sz w:val="21"/>
                <w:shd w:fill="auto" w:val="clear"/>
              </w:rPr>
            </w:pPr>
            <w:r>
              <w:rPr>
                <w:rFonts w:ascii="微软雅黑" w:hAnsi="微软雅黑" w:cs="微软雅黑" w:eastAsia="微软雅黑"/>
                <w:color w:val="auto"/>
                <w:spacing w:val="0"/>
                <w:position w:val="0"/>
                <w:sz w:val="21"/>
                <w:shd w:fill="auto" w:val="clear"/>
              </w:rPr>
              <w:t xml:space="preserve">B类</w:t>
            </w:r>
          </w:p>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豪华展位</w:t>
            </w: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18㎡</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¥18000/18㎡</w:t>
            </w:r>
          </w:p>
        </w:tc>
        <w:tc>
          <w:tcPr>
            <w:tcW w:w="5695"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spacing w:before="0" w:after="0" w:line="320"/>
              <w:ind w:right="0" w:left="0" w:firstLine="210"/>
              <w:jc w:val="left"/>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型材搭建，KT板楣板，2套玻璃桌椅，2套接待桌</w:t>
            </w:r>
          </w:p>
        </w:tc>
      </w:tr>
      <w:tr>
        <w:trPr>
          <w:trHeight w:val="549" w:hRule="auto"/>
          <w:jc w:val="left"/>
        </w:trPr>
        <w:tc>
          <w:tcPr>
            <w:tcW w:w="1521" w:type="dxa"/>
            <w:gridSpan w:val="2"/>
            <w:vMerge/>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spacing w:before="0" w:after="200" w:line="240"/>
              <w:ind w:right="0" w:left="0" w:firstLine="0"/>
              <w:jc w:val="left"/>
              <w:rPr>
                <w:rFonts w:ascii="宋体" w:hAnsi="宋体" w:cs="宋体" w:eastAsia="宋体"/>
                <w:color w:val="auto"/>
                <w:spacing w:val="0"/>
                <w:position w:val="0"/>
                <w:sz w:val="22"/>
                <w:shd w:fill="auto" w:val="clear"/>
              </w:rPr>
            </w:pP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9㎡双开口</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¥9800/9㎡</w:t>
            </w:r>
          </w:p>
        </w:tc>
        <w:tc>
          <w:tcPr>
            <w:tcW w:w="5695"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210"/>
              <w:jc w:val="left"/>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型材搭建，KT板楣板，1套玻璃桌椅，1套接待桌</w:t>
            </w:r>
          </w:p>
        </w:tc>
      </w:tr>
      <w:tr>
        <w:trPr>
          <w:trHeight w:val="517" w:hRule="auto"/>
          <w:jc w:val="left"/>
        </w:trPr>
        <w:tc>
          <w:tcPr>
            <w:tcW w:w="1521" w:type="dxa"/>
            <w:gridSpan w:val="2"/>
            <w:vMerge/>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spacing w:before="0" w:after="200" w:line="240"/>
              <w:ind w:right="0" w:left="0" w:firstLine="0"/>
              <w:jc w:val="left"/>
              <w:rPr>
                <w:rFonts w:ascii="宋体" w:hAnsi="宋体" w:cs="宋体" w:eastAsia="宋体"/>
                <w:color w:val="auto"/>
                <w:spacing w:val="0"/>
                <w:position w:val="0"/>
                <w:sz w:val="22"/>
                <w:shd w:fill="auto" w:val="clear"/>
              </w:rPr>
            </w:pP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9㎡单开口</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¥9000/9㎡</w:t>
            </w:r>
          </w:p>
        </w:tc>
        <w:tc>
          <w:tcPr>
            <w:tcW w:w="5695"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210"/>
              <w:jc w:val="left"/>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型材搭建，KT板楣板，1套玻璃桌椅，1套接待桌</w:t>
            </w:r>
          </w:p>
        </w:tc>
      </w:tr>
      <w:tr>
        <w:trPr>
          <w:trHeight w:val="502" w:hRule="auto"/>
          <w:jc w:val="left"/>
        </w:trPr>
        <w:tc>
          <w:tcPr>
            <w:tcW w:w="1521" w:type="dxa"/>
            <w:gridSpan w:val="2"/>
            <w:vMerge w:val="restart"/>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rFonts w:ascii="微软雅黑" w:hAnsi="微软雅黑" w:cs="微软雅黑" w:eastAsia="微软雅黑"/>
                <w:color w:val="auto"/>
                <w:spacing w:val="0"/>
                <w:position w:val="0"/>
                <w:sz w:val="21"/>
                <w:shd w:fill="auto" w:val="clear"/>
              </w:rPr>
            </w:pPr>
            <w:r>
              <w:rPr>
                <w:rFonts w:ascii="微软雅黑" w:hAnsi="微软雅黑" w:cs="微软雅黑" w:eastAsia="微软雅黑"/>
                <w:color w:val="auto"/>
                <w:spacing w:val="0"/>
                <w:position w:val="0"/>
                <w:sz w:val="21"/>
                <w:shd w:fill="auto" w:val="clear"/>
              </w:rPr>
              <w:t xml:space="preserve">C类</w:t>
            </w:r>
          </w:p>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标准展位</w:t>
            </w: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18㎡</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¥16000/18㎡</w:t>
            </w:r>
          </w:p>
        </w:tc>
        <w:tc>
          <w:tcPr>
            <w:tcW w:w="5695" w:type="dxa"/>
            <w:gridSpan w:val="4"/>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210"/>
              <w:jc w:val="left"/>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高清楣板，2套接待桌椅，射灯电源</w:t>
            </w:r>
          </w:p>
        </w:tc>
      </w:tr>
      <w:tr>
        <w:trPr>
          <w:trHeight w:val="561" w:hRule="auto"/>
          <w:jc w:val="left"/>
        </w:trPr>
        <w:tc>
          <w:tcPr>
            <w:tcW w:w="1521" w:type="dxa"/>
            <w:gridSpan w:val="2"/>
            <w:vMerge/>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spacing w:before="0" w:after="200" w:line="240"/>
              <w:ind w:right="0" w:left="0" w:firstLine="0"/>
              <w:jc w:val="left"/>
              <w:rPr>
                <w:rFonts w:ascii="宋体" w:hAnsi="宋体" w:cs="宋体" w:eastAsia="宋体"/>
                <w:color w:val="auto"/>
                <w:spacing w:val="0"/>
                <w:position w:val="0"/>
                <w:sz w:val="22"/>
                <w:shd w:fill="auto" w:val="clear"/>
              </w:rPr>
            </w:pP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9㎡双开口</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¥8800/9㎡</w:t>
            </w:r>
          </w:p>
        </w:tc>
        <w:tc>
          <w:tcPr>
            <w:tcW w:w="5695" w:type="dxa"/>
            <w:gridSpan w:val="4"/>
            <w:vMerge w:val="restart"/>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210"/>
              <w:jc w:val="left"/>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楣板，1套接待桌椅，射灯电源</w:t>
            </w:r>
          </w:p>
        </w:tc>
      </w:tr>
      <w:tr>
        <w:trPr>
          <w:trHeight w:val="535" w:hRule="auto"/>
          <w:jc w:val="left"/>
        </w:trPr>
        <w:tc>
          <w:tcPr>
            <w:tcW w:w="1521" w:type="dxa"/>
            <w:gridSpan w:val="2"/>
            <w:vMerge/>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spacing w:before="0" w:after="200" w:line="240"/>
              <w:ind w:right="0" w:left="0" w:firstLine="0"/>
              <w:jc w:val="left"/>
              <w:rPr>
                <w:rFonts w:ascii="宋体" w:hAnsi="宋体" w:cs="宋体" w:eastAsia="宋体"/>
                <w:color w:val="auto"/>
                <w:spacing w:val="0"/>
                <w:position w:val="0"/>
                <w:sz w:val="22"/>
                <w:shd w:fill="auto" w:val="clear"/>
              </w:rPr>
            </w:pPr>
          </w:p>
        </w:tc>
        <w:tc>
          <w:tcPr>
            <w:tcW w:w="1476"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9㎡单开口</w:t>
            </w:r>
          </w:p>
        </w:tc>
        <w:tc>
          <w:tcPr>
            <w:tcW w:w="1848" w:type="dxa"/>
            <w:gridSpan w:val="2"/>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widowControl w:val="false"/>
              <w:spacing w:before="0" w:after="0" w:line="32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¥8000/9㎡</w:t>
            </w:r>
          </w:p>
        </w:tc>
        <w:tc>
          <w:tcPr>
            <w:tcW w:w="5695" w:type="dxa"/>
            <w:gridSpan w:val="4"/>
            <w:vMerge/>
            <w:tcBorders>
              <w:top w:val="single" w:color="ed7d31" w:sz="4"/>
              <w:left w:val="single" w:color="ed7d31" w:sz="4"/>
              <w:bottom w:val="single" w:color="ed7d31" w:sz="4"/>
              <w:right w:val="single" w:color="ed7d31" w:sz="4"/>
            </w:tcBorders>
            <w:shd w:color="000000" w:fill="ffffff" w:val="clear"/>
            <w:tcMar>
              <w:left w:w="14" w:type="dxa"/>
              <w:right w:w="14" w:type="dxa"/>
            </w:tcMar>
            <w:vAlign w:val="center"/>
          </w:tcPr>
          <w:p>
            <w:pPr>
              <w:spacing w:before="0" w:after="200" w:line="240"/>
              <w:ind w:right="0" w:left="0" w:firstLine="0"/>
              <w:jc w:val="left"/>
              <w:rPr>
                <w:rFonts w:ascii="宋体" w:hAnsi="宋体" w:cs="宋体" w:eastAsia="宋体"/>
                <w:color w:val="auto"/>
                <w:spacing w:val="0"/>
                <w:position w:val="0"/>
                <w:sz w:val="22"/>
                <w:shd w:fill="auto" w:val="clear"/>
              </w:rPr>
            </w:pPr>
          </w:p>
        </w:tc>
      </w:tr>
      <w:tr>
        <w:trPr>
          <w:trHeight w:val="340" w:hRule="auto"/>
          <w:jc w:val="left"/>
        </w:trPr>
        <w:tc>
          <w:tcPr>
            <w:tcW w:w="10570" w:type="dxa"/>
            <w:gridSpan w:val="11"/>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4"/>
                <w:shd w:fill="auto" w:val="clear"/>
              </w:rPr>
              <w:t xml:space="preserve">现场广告</w:t>
            </w:r>
          </w:p>
        </w:tc>
      </w:tr>
      <w:tr>
        <w:trPr>
          <w:trHeight w:val="454" w:hRule="auto"/>
          <w:jc w:val="left"/>
        </w:trPr>
        <w:tc>
          <w:tcPr>
            <w:tcW w:w="1099"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广告类型</w:t>
            </w:r>
          </w:p>
        </w:tc>
        <w:tc>
          <w:tcPr>
            <w:tcW w:w="1309"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刀旗广告</w:t>
            </w:r>
          </w:p>
        </w:tc>
        <w:tc>
          <w:tcPr>
            <w:tcW w:w="1560"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室外喷绘广告</w:t>
            </w:r>
          </w:p>
        </w:tc>
        <w:tc>
          <w:tcPr>
            <w:tcW w:w="1470"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拱门</w:t>
            </w:r>
          </w:p>
        </w:tc>
        <w:tc>
          <w:tcPr>
            <w:tcW w:w="1545"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手提袋</w:t>
            </w:r>
          </w:p>
        </w:tc>
        <w:tc>
          <w:tcPr>
            <w:tcW w:w="1605"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门票</w:t>
            </w:r>
          </w:p>
        </w:tc>
        <w:tc>
          <w:tcPr>
            <w:tcW w:w="1982"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参展证、参观证</w:t>
            </w:r>
          </w:p>
        </w:tc>
      </w:tr>
      <w:tr>
        <w:trPr>
          <w:trHeight w:val="454" w:hRule="auto"/>
          <w:jc w:val="left"/>
        </w:trPr>
        <w:tc>
          <w:tcPr>
            <w:tcW w:w="1099"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价格</w:t>
            </w:r>
          </w:p>
        </w:tc>
        <w:tc>
          <w:tcPr>
            <w:tcW w:w="1309"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300元/面</w:t>
            </w:r>
          </w:p>
        </w:tc>
        <w:tc>
          <w:tcPr>
            <w:tcW w:w="1560"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400元/平米</w:t>
            </w:r>
          </w:p>
        </w:tc>
        <w:tc>
          <w:tcPr>
            <w:tcW w:w="1470"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5000元／个</w:t>
            </w:r>
          </w:p>
        </w:tc>
        <w:tc>
          <w:tcPr>
            <w:tcW w:w="1545"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5000元/千个</w:t>
            </w:r>
          </w:p>
        </w:tc>
        <w:tc>
          <w:tcPr>
            <w:tcW w:w="1605" w:type="dxa"/>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5000元/万份</w:t>
            </w:r>
          </w:p>
        </w:tc>
        <w:tc>
          <w:tcPr>
            <w:tcW w:w="1982" w:type="dxa"/>
            <w:gridSpan w:val="2"/>
            <w:tcBorders>
              <w:top w:val="single" w:color="ed7d31" w:sz="4"/>
              <w:left w:val="single" w:color="ed7d31" w:sz="4"/>
              <w:bottom w:val="single" w:color="ed7d31" w:sz="4"/>
              <w:right w:val="single" w:color="ed7d31"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微软雅黑" w:hAnsi="微软雅黑" w:cs="微软雅黑" w:eastAsia="微软雅黑"/>
                <w:color w:val="auto"/>
                <w:spacing w:val="0"/>
                <w:position w:val="0"/>
                <w:sz w:val="21"/>
                <w:shd w:fill="auto" w:val="clear"/>
              </w:rPr>
              <w:t xml:space="preserve">30000元/全部证</w:t>
            </w:r>
          </w:p>
        </w:tc>
      </w:tr>
    </w:tbl>
    <w:p>
      <w:pPr>
        <w:spacing w:before="156" w:after="156" w:line="240"/>
        <w:ind w:right="0" w:left="0" w:firstLine="0"/>
        <w:jc w:val="both"/>
        <w:rPr>
          <w:rFonts w:ascii="宋体" w:hAnsi="宋体" w:cs="宋体" w:eastAsia="宋体"/>
          <w:b/>
          <w:color w:val="ED7D31"/>
          <w:spacing w:val="0"/>
          <w:position w:val="0"/>
          <w:sz w:val="30"/>
          <w:shd w:fill="auto" w:val="clear"/>
        </w:rPr>
      </w:pPr>
    </w:p>
    <w:p>
      <w:pPr>
        <w:spacing w:before="156" w:after="156" w:line="240"/>
        <w:ind w:right="0" w:left="0" w:firstLine="0"/>
        <w:jc w:val="both"/>
        <w:rPr>
          <w:rFonts w:ascii="宋体" w:hAnsi="宋体" w:cs="宋体" w:eastAsia="宋体"/>
          <w:b/>
          <w:color w:val="ED7D31"/>
          <w:spacing w:val="0"/>
          <w:position w:val="0"/>
          <w:sz w:val="30"/>
          <w:shd w:fill="auto" w:val="clear"/>
        </w:rPr>
      </w:pPr>
      <w:r>
        <w:rPr>
          <w:rFonts w:ascii="宋体" w:hAnsi="宋体" w:cs="宋体" w:eastAsia="宋体"/>
          <w:b/>
          <w:color w:val="ED7D31"/>
          <w:spacing w:val="0"/>
          <w:position w:val="0"/>
          <w:sz w:val="30"/>
          <w:shd w:fill="auto" w:val="clear"/>
        </w:rPr>
        <w:t xml:space="preserve">参展联系：</w:t>
      </w:r>
    </w:p>
    <w:p>
      <w:pPr>
        <w:spacing w:before="0" w:after="0" w:line="24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展会地址：山东国际会展中心 </w:t>
        <w:tab/>
        <w:t xml:space="preserve">      </w:t>
      </w:r>
    </w:p>
    <w:p>
      <w:pPr>
        <w:spacing w:before="0" w:after="0" w:line="24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参展联系：张经理                 </w:t>
      </w:r>
    </w:p>
    <w:p>
      <w:pPr>
        <w:spacing w:before="0" w:after="0" w:line="24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联系电话：18655158592</w:t>
      </w:r>
    </w:p>
    <w:p>
      <w:pPr>
        <w:spacing w:before="0" w:after="0" w:line="240"/>
        <w:ind w:right="0" w:left="0" w:firstLine="0"/>
        <w:jc w:val="both"/>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E-mail  : 2407525989@qq.com</w:t>
      </w:r>
    </w:p>
    <w:p>
      <w:pPr>
        <w:spacing w:before="156" w:after="156" w:line="240"/>
        <w:ind w:right="0" w:left="0" w:firstLine="0"/>
        <w:jc w:val="both"/>
        <w:rPr>
          <w:rFonts w:ascii="宋体" w:hAnsi="宋体" w:cs="宋体" w:eastAsia="宋体"/>
          <w:b/>
          <w:color w:val="ED7D31"/>
          <w:spacing w:val="0"/>
          <w:position w:val="0"/>
          <w:sz w:val="30"/>
          <w:shd w:fill="auto" w:val="clear"/>
        </w:rPr>
      </w:pPr>
    </w:p>
    <w:p>
      <w:pPr>
        <w:spacing w:before="156" w:after="156" w:line="240"/>
        <w:ind w:right="0" w:left="0" w:firstLine="0"/>
        <w:jc w:val="both"/>
        <w:rPr>
          <w:rFonts w:ascii="宋体" w:hAnsi="宋体" w:cs="宋体" w:eastAsia="宋体"/>
          <w:b/>
          <w:color w:val="ED7D31"/>
          <w:spacing w:val="0"/>
          <w:position w:val="0"/>
          <w:sz w:val="30"/>
          <w:shd w:fill="auto" w:val="clear"/>
        </w:rPr>
      </w:pPr>
    </w:p>
    <w:p>
      <w:pPr>
        <w:spacing w:before="156" w:after="156" w:line="240"/>
        <w:ind w:right="0" w:left="0" w:firstLine="0"/>
        <w:jc w:val="both"/>
        <w:rPr>
          <w:rFonts w:ascii="宋体" w:hAnsi="宋体" w:cs="宋体" w:eastAsia="宋体"/>
          <w:b/>
          <w:color w:val="ED7D31"/>
          <w:spacing w:val="0"/>
          <w:position w:val="0"/>
          <w:sz w:val="30"/>
          <w:shd w:fill="auto" w:val="clear"/>
        </w:rPr>
      </w:pPr>
    </w:p>
    <w:p>
      <w:pPr>
        <w:spacing w:before="0" w:after="0" w:line="400"/>
        <w:ind w:right="0" w:left="0" w:firstLine="0"/>
        <w:jc w:val="both"/>
        <w:rPr>
          <w:rFonts w:ascii="黑体" w:hAnsi="黑体" w:cs="黑体" w:eastAsia="黑体"/>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4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