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2E7D" w14:textId="113DBCF2" w:rsidR="005F6BC6" w:rsidRDefault="0065614B">
      <w:pPr>
        <w:rPr>
          <w:rFonts w:ascii="微软雅黑" w:eastAsia="微软雅黑" w:hAnsi="微软雅黑" w:cs="微软雅黑"/>
          <w:b/>
          <w:bCs/>
          <w:spacing w:val="9584"/>
          <w:kern w:val="0"/>
          <w:sz w:val="16"/>
          <w:szCs w:val="20"/>
        </w:rPr>
      </w:pPr>
      <w:r>
        <w:rPr>
          <w:noProof/>
        </w:rPr>
        <w:drawing>
          <wp:anchor distT="0" distB="0" distL="114300" distR="114300" simplePos="0" relativeHeight="251659264" behindDoc="0" locked="0" layoutInCell="1" allowOverlap="1" wp14:anchorId="08863ADA" wp14:editId="6BAABFF2">
            <wp:simplePos x="0" y="0"/>
            <wp:positionH relativeFrom="column">
              <wp:posOffset>4173855</wp:posOffset>
            </wp:positionH>
            <wp:positionV relativeFrom="paragraph">
              <wp:posOffset>-619760</wp:posOffset>
            </wp:positionV>
            <wp:extent cx="2019300" cy="617676"/>
            <wp:effectExtent l="0" t="0" r="0" b="0"/>
            <wp:wrapNone/>
            <wp:docPr id="6274972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617676"/>
                    </a:xfrm>
                    <a:prstGeom prst="rect">
                      <a:avLst/>
                    </a:prstGeom>
                    <a:noFill/>
                    <a:ln>
                      <a:noFill/>
                    </a:ln>
                  </pic:spPr>
                </pic:pic>
              </a:graphicData>
            </a:graphic>
          </wp:anchor>
        </w:drawing>
      </w:r>
    </w:p>
    <w:p w14:paraId="4C246D1E" w14:textId="77777777" w:rsidR="005F6BC6" w:rsidRDefault="005F6BC6">
      <w:pPr>
        <w:rPr>
          <w:rFonts w:ascii="微软雅黑" w:eastAsia="微软雅黑" w:hAnsi="微软雅黑" w:cs="微软雅黑"/>
          <w:b/>
          <w:bCs/>
          <w:spacing w:val="9584"/>
          <w:kern w:val="0"/>
          <w:sz w:val="16"/>
          <w:szCs w:val="20"/>
        </w:rPr>
      </w:pPr>
    </w:p>
    <w:p w14:paraId="2C7AED8B" w14:textId="4D6CB6E5" w:rsidR="005F6BC6" w:rsidRPr="00260D47" w:rsidRDefault="00E6721E" w:rsidP="0065614B">
      <w:pPr>
        <w:spacing w:line="600" w:lineRule="exact"/>
        <w:jc w:val="center"/>
        <w:rPr>
          <w:rFonts w:ascii="微软雅黑" w:eastAsia="微软雅黑" w:hAnsi="微软雅黑" w:cs="微软雅黑"/>
          <w:b/>
          <w:bCs/>
          <w:w w:val="92"/>
          <w:kern w:val="0"/>
          <w:sz w:val="48"/>
          <w:szCs w:val="56"/>
        </w:rPr>
      </w:pPr>
      <w:r w:rsidRPr="003A4FC0">
        <w:rPr>
          <w:rFonts w:ascii="微软雅黑" w:eastAsia="微软雅黑" w:hAnsi="微软雅黑" w:cs="微软雅黑" w:hint="eastAsia"/>
          <w:b/>
          <w:bCs/>
          <w:spacing w:val="4"/>
          <w:w w:val="93"/>
          <w:kern w:val="0"/>
          <w:sz w:val="48"/>
          <w:szCs w:val="56"/>
          <w:fitText w:val="6636" w:id="-1179363328"/>
        </w:rPr>
        <w:t>2024北京国际汽车零部件博览</w:t>
      </w:r>
      <w:r w:rsidRPr="003A4FC0">
        <w:rPr>
          <w:rFonts w:ascii="微软雅黑" w:eastAsia="微软雅黑" w:hAnsi="微软雅黑" w:cs="微软雅黑" w:hint="eastAsia"/>
          <w:b/>
          <w:bCs/>
          <w:spacing w:val="-18"/>
          <w:w w:val="93"/>
          <w:kern w:val="0"/>
          <w:sz w:val="48"/>
          <w:szCs w:val="56"/>
          <w:fitText w:val="6636" w:id="-1179363328"/>
        </w:rPr>
        <w:t>会</w:t>
      </w:r>
      <w:hyperlink r:id="rId8" w:tooltip="添加到收藏夹" w:history="1"/>
    </w:p>
    <w:p w14:paraId="7470B963" w14:textId="5D60EB5E" w:rsidR="005F6BC6" w:rsidRPr="0065614B" w:rsidRDefault="00E6721E" w:rsidP="0065614B">
      <w:pPr>
        <w:pStyle w:val="a3"/>
        <w:widowControl/>
        <w:spacing w:line="240" w:lineRule="exact"/>
        <w:jc w:val="center"/>
        <w:rPr>
          <w:rFonts w:ascii="微软雅黑" w:eastAsia="微软雅黑" w:hAnsi="微软雅黑" w:cs="微软雅黑"/>
          <w:kern w:val="2"/>
          <w:sz w:val="22"/>
          <w:szCs w:val="28"/>
        </w:rPr>
      </w:pPr>
      <w:r w:rsidRPr="00260D47">
        <w:rPr>
          <w:rFonts w:ascii="微软雅黑" w:eastAsia="微软雅黑" w:hAnsi="微软雅黑" w:cs="微软雅黑"/>
          <w:kern w:val="2"/>
          <w:sz w:val="22"/>
          <w:szCs w:val="28"/>
        </w:rPr>
        <w:t>2024 Beijing International Auto Parts Expo</w:t>
      </w:r>
    </w:p>
    <w:p w14:paraId="363A1D43" w14:textId="2FAC800C" w:rsidR="005F6BC6" w:rsidRDefault="00E6721E" w:rsidP="009365F0">
      <w:pPr>
        <w:jc w:val="center"/>
        <w:rPr>
          <w:b/>
          <w:bCs/>
          <w:kern w:val="0"/>
          <w:sz w:val="22"/>
          <w:szCs w:val="28"/>
        </w:rPr>
      </w:pPr>
      <w:r w:rsidRPr="0065614B">
        <w:rPr>
          <w:rFonts w:hint="eastAsia"/>
          <w:b/>
          <w:bCs/>
          <w:kern w:val="0"/>
          <w:sz w:val="22"/>
          <w:szCs w:val="28"/>
        </w:rPr>
        <w:t>时间：</w:t>
      </w:r>
      <w:r w:rsidRPr="0065614B">
        <w:rPr>
          <w:rFonts w:hint="eastAsia"/>
          <w:b/>
          <w:bCs/>
          <w:kern w:val="0"/>
          <w:sz w:val="22"/>
          <w:szCs w:val="28"/>
        </w:rPr>
        <w:t>2024</w:t>
      </w:r>
      <w:r w:rsidRPr="0065614B">
        <w:rPr>
          <w:rFonts w:hint="eastAsia"/>
          <w:b/>
          <w:bCs/>
          <w:kern w:val="0"/>
          <w:sz w:val="22"/>
          <w:szCs w:val="28"/>
        </w:rPr>
        <w:t>年</w:t>
      </w:r>
      <w:r w:rsidR="005930C8">
        <w:rPr>
          <w:b/>
          <w:bCs/>
          <w:kern w:val="0"/>
          <w:sz w:val="22"/>
          <w:szCs w:val="28"/>
        </w:rPr>
        <w:t>8</w:t>
      </w:r>
      <w:r w:rsidRPr="0065614B">
        <w:rPr>
          <w:rFonts w:hint="eastAsia"/>
          <w:b/>
          <w:bCs/>
          <w:kern w:val="0"/>
          <w:sz w:val="22"/>
          <w:szCs w:val="28"/>
        </w:rPr>
        <w:t>月</w:t>
      </w:r>
      <w:r w:rsidR="00260D47" w:rsidRPr="0065614B">
        <w:rPr>
          <w:rFonts w:hint="eastAsia"/>
          <w:b/>
          <w:bCs/>
          <w:kern w:val="0"/>
          <w:sz w:val="22"/>
          <w:szCs w:val="28"/>
        </w:rPr>
        <w:t>1</w:t>
      </w:r>
      <w:r w:rsidR="00260D47" w:rsidRPr="0065614B">
        <w:rPr>
          <w:b/>
          <w:bCs/>
          <w:kern w:val="0"/>
          <w:sz w:val="22"/>
          <w:szCs w:val="28"/>
        </w:rPr>
        <w:t>-</w:t>
      </w:r>
      <w:r w:rsidR="005930C8">
        <w:rPr>
          <w:b/>
          <w:bCs/>
          <w:kern w:val="0"/>
          <w:sz w:val="22"/>
          <w:szCs w:val="28"/>
        </w:rPr>
        <w:t>3</w:t>
      </w:r>
      <w:r w:rsidR="00260D47" w:rsidRPr="0065614B">
        <w:rPr>
          <w:rFonts w:hint="eastAsia"/>
          <w:b/>
          <w:bCs/>
          <w:kern w:val="0"/>
          <w:sz w:val="22"/>
          <w:szCs w:val="28"/>
        </w:rPr>
        <w:t>日</w:t>
      </w:r>
      <w:r w:rsidRPr="0065614B">
        <w:rPr>
          <w:rFonts w:hint="eastAsia"/>
          <w:b/>
          <w:bCs/>
          <w:kern w:val="0"/>
          <w:sz w:val="22"/>
          <w:szCs w:val="28"/>
        </w:rPr>
        <w:t xml:space="preserve">     </w:t>
      </w:r>
      <w:r w:rsidRPr="0065614B">
        <w:rPr>
          <w:rFonts w:hint="eastAsia"/>
          <w:b/>
          <w:bCs/>
          <w:kern w:val="0"/>
          <w:sz w:val="22"/>
          <w:szCs w:val="28"/>
        </w:rPr>
        <w:t>地点：中国国际展览中心（顺义馆）</w:t>
      </w:r>
    </w:p>
    <w:p w14:paraId="00E3913C" w14:textId="4809AB93" w:rsidR="009365F0" w:rsidRPr="00A3380B" w:rsidRDefault="00A3380B" w:rsidP="00A3380B">
      <w:pPr>
        <w:spacing w:line="600" w:lineRule="exact"/>
        <w:jc w:val="center"/>
        <w:rPr>
          <w:rFonts w:ascii="黑体" w:eastAsia="黑体" w:hAnsi="黑体"/>
          <w:b/>
          <w:bCs/>
          <w:sz w:val="52"/>
          <w:szCs w:val="52"/>
        </w:rPr>
      </w:pPr>
      <w:r>
        <w:rPr>
          <w:rFonts w:ascii="黑体" w:eastAsia="黑体" w:hAnsi="黑体" w:hint="eastAsia"/>
          <w:b/>
          <w:bCs/>
          <w:sz w:val="52"/>
          <w:szCs w:val="52"/>
        </w:rPr>
        <w:t>邀请函</w:t>
      </w:r>
    </w:p>
    <w:p w14:paraId="6E815A85" w14:textId="77777777" w:rsidR="005F6BC6" w:rsidRDefault="00E6721E">
      <w:pPr>
        <w:numPr>
          <w:ilvl w:val="0"/>
          <w:numId w:val="1"/>
        </w:numPr>
        <w:jc w:val="left"/>
        <w:rPr>
          <w:rFonts w:ascii="黑体" w:eastAsia="黑体" w:hAnsi="黑体"/>
          <w:sz w:val="24"/>
        </w:rPr>
      </w:pPr>
      <w:r>
        <w:rPr>
          <w:rFonts w:ascii="微软雅黑" w:eastAsia="微软雅黑" w:hAnsi="微软雅黑" w:cs="微软雅黑" w:hint="eastAsia"/>
          <w:b/>
          <w:bCs/>
          <w:color w:val="1A7FDE"/>
          <w:sz w:val="28"/>
          <w:szCs w:val="36"/>
        </w:rPr>
        <w:t>展会概况</w:t>
      </w:r>
    </w:p>
    <w:p w14:paraId="737A8F95" w14:textId="77777777" w:rsidR="005F6BC6" w:rsidRDefault="00E6721E" w:rsidP="009365F0">
      <w:pPr>
        <w:spacing w:line="320" w:lineRule="exact"/>
        <w:ind w:firstLineChars="200" w:firstLine="480"/>
        <w:rPr>
          <w:rFonts w:ascii="黑体" w:eastAsia="黑体" w:hAnsi="黑体"/>
          <w:sz w:val="24"/>
        </w:rPr>
      </w:pPr>
      <w:r>
        <w:rPr>
          <w:rFonts w:ascii="黑体" w:eastAsia="黑体" w:hAnsi="黑体" w:hint="eastAsia"/>
          <w:sz w:val="24"/>
        </w:rPr>
        <w:t>汽车零部件行业是支持汽车行业可持续健康发展的重要因素。伴随着我国汽车行业的高速发展、汽车保有量的增加以及汽车零部件进口市场的扩大，我国汽车零部件行业得到了迅速壮大，我国已经成为汽车及汽车零部件全球生产、全球供应体系中的重要一环。并随着进口替代趋势的深化以及行业技术水平的不断提升，国产零部件企业在核心产品上开始逐步突破。</w:t>
      </w:r>
    </w:p>
    <w:p w14:paraId="3FE33D4B" w14:textId="77777777" w:rsidR="005F6BC6" w:rsidRDefault="00E6721E" w:rsidP="009365F0">
      <w:pPr>
        <w:spacing w:line="320" w:lineRule="exact"/>
        <w:ind w:firstLineChars="200" w:firstLine="480"/>
        <w:rPr>
          <w:rFonts w:ascii="黑体" w:eastAsia="黑体" w:hAnsi="黑体"/>
          <w:sz w:val="24"/>
        </w:rPr>
      </w:pPr>
      <w:r>
        <w:rPr>
          <w:rFonts w:ascii="黑体" w:eastAsia="黑体" w:hAnsi="黑体" w:hint="eastAsia"/>
          <w:sz w:val="24"/>
        </w:rPr>
        <w:t>在汽车智能化、电动化发展趋势下，汽车零部件行业同样面临产品、技术、制造方式等领域的大变革。未来汽车零部件行业将向通用化、模块化/系统化、智能化、环保化和轻量化方向发展。随着竞争加剧、国内零部件企业的并购重组将提速，零部件企业的未来出路必须要掌握核心技术，与汽车主机厂联合加大对关键零部件的研发，并且逐渐向一级系统供应</w:t>
      </w:r>
      <w:proofErr w:type="gramStart"/>
      <w:r>
        <w:rPr>
          <w:rFonts w:ascii="黑体" w:eastAsia="黑体" w:hAnsi="黑体" w:hint="eastAsia"/>
          <w:sz w:val="24"/>
        </w:rPr>
        <w:t>商方向</w:t>
      </w:r>
      <w:proofErr w:type="gramEnd"/>
      <w:r>
        <w:rPr>
          <w:rFonts w:ascii="黑体" w:eastAsia="黑体" w:hAnsi="黑体" w:hint="eastAsia"/>
          <w:sz w:val="24"/>
        </w:rPr>
        <w:t>发展。未来随着国内自主汽车品牌厂商的崛起，以及国产零部件厂商技术的积累，国内汽车零部件产业发展进入快车道。</w:t>
      </w:r>
    </w:p>
    <w:p w14:paraId="0BB32AF5" w14:textId="7D4F118B" w:rsidR="005F6BC6" w:rsidRDefault="00E6721E" w:rsidP="009365F0">
      <w:pPr>
        <w:spacing w:line="320" w:lineRule="exact"/>
        <w:ind w:firstLineChars="200" w:firstLine="480"/>
        <w:rPr>
          <w:rFonts w:ascii="黑体" w:eastAsia="黑体" w:hAnsi="黑体"/>
          <w:sz w:val="24"/>
        </w:rPr>
      </w:pPr>
      <w:r>
        <w:rPr>
          <w:rFonts w:ascii="黑体" w:eastAsia="黑体" w:hAnsi="黑体" w:hint="eastAsia"/>
          <w:sz w:val="24"/>
        </w:rPr>
        <w:t>2024北京国际汽车零部件博览会将于2024年7月在中国国际展览中心（顺义馆）举办，</w:t>
      </w:r>
      <w:r w:rsidR="0065614B">
        <w:rPr>
          <w:rFonts w:ascii="黑体" w:eastAsia="黑体" w:hAnsi="黑体" w:hint="eastAsia"/>
          <w:sz w:val="24"/>
        </w:rPr>
        <w:t>本展会隶属于“2024第十三届北京国际汽车制造业博览会”部件工程主题展区。</w:t>
      </w:r>
      <w:r>
        <w:rPr>
          <w:rFonts w:ascii="黑体" w:eastAsia="黑体" w:hAnsi="黑体" w:hint="eastAsia"/>
          <w:sz w:val="24"/>
        </w:rPr>
        <w:t>博览会始终聚焦汽车产业链前沿技术和最具代表性的科技创新产品与技术解决方案，全面呈现当前国际领先汽车零部件行业的新技术、新业态、新模式，届时以更高端、更专业、更开放、更现代、更国际化的身姿吸引海内外客商的关注，为国内外汽车企业创造交流机会、加强相互合作更起到了积极的推进作用，致力于汽车主机厂商、零部件供应商及相关单位搭建一个高效的技术展示与商贸洽谈新平台。</w:t>
      </w:r>
    </w:p>
    <w:p w14:paraId="7383C222" w14:textId="77777777" w:rsidR="005F6BC6" w:rsidRDefault="00E6721E">
      <w:pPr>
        <w:numPr>
          <w:ilvl w:val="0"/>
          <w:numId w:val="1"/>
        </w:numPr>
        <w:jc w:val="left"/>
        <w:rPr>
          <w:rFonts w:ascii="微软雅黑" w:eastAsia="微软雅黑" w:hAnsi="微软雅黑" w:cs="微软雅黑"/>
          <w:b/>
          <w:bCs/>
          <w:color w:val="1A7FDE"/>
          <w:sz w:val="28"/>
          <w:szCs w:val="36"/>
        </w:rPr>
      </w:pPr>
      <w:r>
        <w:rPr>
          <w:rFonts w:ascii="微软雅黑" w:eastAsia="微软雅黑" w:hAnsi="微软雅黑" w:cs="微软雅黑" w:hint="eastAsia"/>
          <w:b/>
          <w:bCs/>
          <w:color w:val="1A7FDE"/>
          <w:sz w:val="28"/>
          <w:szCs w:val="36"/>
        </w:rPr>
        <w:t>展会优势</w:t>
      </w:r>
    </w:p>
    <w:p w14:paraId="20BB76FC" w14:textId="77777777" w:rsidR="005F6BC6" w:rsidRDefault="00E6721E" w:rsidP="009365F0">
      <w:pPr>
        <w:spacing w:line="320" w:lineRule="exact"/>
        <w:rPr>
          <w:rFonts w:ascii="黑体" w:eastAsia="黑体" w:hAnsi="黑体"/>
          <w:sz w:val="24"/>
        </w:rPr>
      </w:pPr>
      <w:r>
        <w:rPr>
          <w:rFonts w:ascii="黑体" w:eastAsia="黑体" w:hAnsi="黑体" w:hint="eastAsia"/>
          <w:sz w:val="24"/>
        </w:rPr>
        <w:t>——机遇与挑战并存，市场潜力巨大</w:t>
      </w:r>
    </w:p>
    <w:p w14:paraId="52D052EC" w14:textId="77777777" w:rsidR="005F6BC6" w:rsidRDefault="00E6721E" w:rsidP="009365F0">
      <w:pPr>
        <w:spacing w:line="320" w:lineRule="exact"/>
        <w:ind w:firstLineChars="200" w:firstLine="480"/>
        <w:rPr>
          <w:rFonts w:ascii="黑体" w:eastAsia="黑体" w:hAnsi="黑体"/>
          <w:sz w:val="24"/>
        </w:rPr>
      </w:pPr>
      <w:r>
        <w:rPr>
          <w:rFonts w:ascii="黑体" w:eastAsia="黑体" w:hAnsi="黑体" w:hint="eastAsia"/>
          <w:sz w:val="24"/>
        </w:rPr>
        <w:t>新能源汽车行业的不断发展为汽车零部件带来了全新的发展机遇和挑战。一方面，新能源汽车是汽车产业未来重要的发展方向之一，能够为汽车行业带来更广阔的增量市场空间，也推动了汽车零部件行业技术与产品的创新。另一方面，新能源汽车在结构设计与动力系统等方面与传统汽车也存在一定的差异，这就要求汽车零部件厂商快速响应下游整车厂的需求，研发和生产出适合新能源汽车发展趋势的产品。</w:t>
      </w:r>
    </w:p>
    <w:p w14:paraId="1D0A1C7A" w14:textId="77777777" w:rsidR="005F6BC6" w:rsidRDefault="00E6721E" w:rsidP="009365F0">
      <w:pPr>
        <w:spacing w:line="320" w:lineRule="exact"/>
        <w:rPr>
          <w:rFonts w:ascii="黑体" w:eastAsia="黑体" w:hAnsi="黑体"/>
          <w:sz w:val="24"/>
        </w:rPr>
      </w:pPr>
      <w:r>
        <w:rPr>
          <w:rFonts w:ascii="黑体" w:eastAsia="黑体" w:hAnsi="黑体" w:hint="eastAsia"/>
          <w:sz w:val="24"/>
        </w:rPr>
        <w:t>——聚焦行业资源，领域涵盖广泛</w:t>
      </w:r>
    </w:p>
    <w:p w14:paraId="27F327A6" w14:textId="77777777" w:rsidR="005F6BC6" w:rsidRDefault="00E6721E" w:rsidP="009365F0">
      <w:pPr>
        <w:spacing w:line="320" w:lineRule="exact"/>
        <w:ind w:firstLineChars="200" w:firstLine="480"/>
        <w:rPr>
          <w:rFonts w:ascii="黑体" w:eastAsia="黑体" w:hAnsi="黑体"/>
          <w:sz w:val="24"/>
        </w:rPr>
      </w:pPr>
      <w:r>
        <w:rPr>
          <w:rFonts w:ascii="黑体" w:eastAsia="黑体" w:hAnsi="黑体" w:hint="eastAsia"/>
          <w:sz w:val="24"/>
        </w:rPr>
        <w:t>展会现场包括但不限于传动系统、制动系统、悬挂系统、发动机及其零部件、轮毂轮胎、内外饰件、电子元器件、新能源汽车等产品技术及解决方案。云集华北乃至全国的业内专业人士，为引领汽车零部件产业发展的风向标，是会见企业、商贸交流合作、拓展新兴市场、品牌宣传推广以及网罗行业人脉的绝佳平台。</w:t>
      </w:r>
    </w:p>
    <w:p w14:paraId="3644CF0A" w14:textId="77777777" w:rsidR="005F6BC6" w:rsidRDefault="00E6721E" w:rsidP="009365F0">
      <w:pPr>
        <w:spacing w:line="320" w:lineRule="exact"/>
        <w:rPr>
          <w:rFonts w:ascii="黑体" w:eastAsia="黑体" w:hAnsi="黑体"/>
          <w:sz w:val="24"/>
        </w:rPr>
      </w:pPr>
      <w:r>
        <w:rPr>
          <w:rFonts w:ascii="黑体" w:eastAsia="黑体" w:hAnsi="黑体" w:hint="eastAsia"/>
          <w:sz w:val="24"/>
        </w:rPr>
        <w:t>——采购需求强劲，把握市场先机</w:t>
      </w:r>
    </w:p>
    <w:p w14:paraId="08C79445" w14:textId="77777777" w:rsidR="005F6BC6" w:rsidRDefault="00E6721E" w:rsidP="009365F0">
      <w:pPr>
        <w:spacing w:line="320" w:lineRule="exact"/>
        <w:ind w:firstLineChars="200" w:firstLine="480"/>
        <w:rPr>
          <w:rFonts w:ascii="黑体" w:eastAsia="黑体" w:hAnsi="黑体"/>
          <w:sz w:val="24"/>
        </w:rPr>
      </w:pPr>
      <w:r>
        <w:rPr>
          <w:rFonts w:ascii="黑体" w:eastAsia="黑体" w:hAnsi="黑体" w:hint="eastAsia"/>
          <w:sz w:val="24"/>
        </w:rPr>
        <w:t>展会期间特邀品牌采购商云集，这不仅有助于参展商高效推广企业品牌，更能及时收集目标客户的资料，通过现场会谈，展后沟通，拓展企业客户资源。还可以了解行业的一手资讯及资源，及时掌握行业的发展趋势以及市场竞争态势，精准判断汽车零部件未来发展方向及需求，</w:t>
      </w:r>
      <w:r>
        <w:rPr>
          <w:rFonts w:ascii="黑体" w:eastAsia="黑体" w:hAnsi="黑体" w:hint="eastAsia"/>
          <w:sz w:val="24"/>
        </w:rPr>
        <w:lastRenderedPageBreak/>
        <w:t>从而调整发展规划，及时抢占行业市场，形成竞争优势。</w:t>
      </w:r>
    </w:p>
    <w:p w14:paraId="6B8FC22D" w14:textId="77777777" w:rsidR="005F6BC6" w:rsidRDefault="00E6721E" w:rsidP="009365F0">
      <w:pPr>
        <w:spacing w:line="320" w:lineRule="exact"/>
        <w:rPr>
          <w:rFonts w:ascii="黑体" w:eastAsia="黑体" w:hAnsi="黑体"/>
          <w:sz w:val="24"/>
        </w:rPr>
      </w:pPr>
      <w:r>
        <w:rPr>
          <w:rFonts w:ascii="黑体" w:eastAsia="黑体" w:hAnsi="黑体" w:hint="eastAsia"/>
          <w:sz w:val="24"/>
        </w:rPr>
        <w:t> ——高端论坛连场，行业翘楚云集</w:t>
      </w:r>
    </w:p>
    <w:p w14:paraId="05193183" w14:textId="77777777" w:rsidR="005F6BC6" w:rsidRDefault="00E6721E" w:rsidP="009365F0">
      <w:pPr>
        <w:spacing w:line="320" w:lineRule="exact"/>
        <w:ind w:firstLineChars="200" w:firstLine="480"/>
        <w:rPr>
          <w:rFonts w:ascii="黑体" w:eastAsia="黑体" w:hAnsi="黑体"/>
          <w:sz w:val="24"/>
        </w:rPr>
      </w:pPr>
      <w:r>
        <w:rPr>
          <w:rFonts w:ascii="黑体" w:eastAsia="黑体" w:hAnsi="黑体" w:hint="eastAsia"/>
          <w:sz w:val="24"/>
        </w:rPr>
        <w:t>现场围绕“汽车零部件”等主题开设多场高峰论坛、研讨会、产品发布会和对接会等，邀请政府领导、协会嘉宾、院士大</w:t>
      </w:r>
      <w:proofErr w:type="gramStart"/>
      <w:r>
        <w:rPr>
          <w:rFonts w:ascii="黑体" w:eastAsia="黑体" w:hAnsi="黑体" w:hint="eastAsia"/>
          <w:sz w:val="24"/>
        </w:rPr>
        <w:t>咖</w:t>
      </w:r>
      <w:proofErr w:type="gramEnd"/>
      <w:r>
        <w:rPr>
          <w:rFonts w:ascii="黑体" w:eastAsia="黑体" w:hAnsi="黑体" w:hint="eastAsia"/>
          <w:sz w:val="24"/>
        </w:rPr>
        <w:t>、专家学者等行业精英出席，交流发展热点，剖析发展痛点，探讨发展难点，汇聚智慧，群策群</w:t>
      </w:r>
      <w:proofErr w:type="gramStart"/>
      <w:r>
        <w:rPr>
          <w:rFonts w:ascii="黑体" w:eastAsia="黑体" w:hAnsi="黑体" w:hint="eastAsia"/>
          <w:sz w:val="24"/>
        </w:rPr>
        <w:t>议推</w:t>
      </w:r>
      <w:proofErr w:type="gramEnd"/>
      <w:r>
        <w:rPr>
          <w:rFonts w:ascii="黑体" w:eastAsia="黑体" w:hAnsi="黑体" w:hint="eastAsia"/>
          <w:sz w:val="24"/>
        </w:rPr>
        <w:t>动核心产业集群集聚做大做强。</w:t>
      </w:r>
    </w:p>
    <w:p w14:paraId="328D1721" w14:textId="77777777" w:rsidR="005F6BC6" w:rsidRPr="009365F0" w:rsidRDefault="00E6721E" w:rsidP="009365F0">
      <w:pPr>
        <w:numPr>
          <w:ilvl w:val="0"/>
          <w:numId w:val="1"/>
        </w:numPr>
        <w:jc w:val="left"/>
        <w:rPr>
          <w:rFonts w:ascii="微软雅黑" w:eastAsia="微软雅黑" w:hAnsi="微软雅黑" w:cs="微软雅黑"/>
          <w:b/>
          <w:bCs/>
          <w:color w:val="1A7FDE"/>
          <w:sz w:val="28"/>
          <w:szCs w:val="36"/>
        </w:rPr>
      </w:pPr>
      <w:r w:rsidRPr="009365F0">
        <w:rPr>
          <w:rFonts w:ascii="微软雅黑" w:eastAsia="微软雅黑" w:hAnsi="微软雅黑" w:cs="微软雅黑" w:hint="eastAsia"/>
          <w:b/>
          <w:bCs/>
          <w:color w:val="1A7FDE"/>
          <w:sz w:val="28"/>
          <w:szCs w:val="36"/>
        </w:rPr>
        <w:t>展示范围</w:t>
      </w:r>
    </w:p>
    <w:p w14:paraId="69BD0ABA"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智能网联汽车、纯电动汽车（</w:t>
      </w:r>
      <w:proofErr w:type="spellStart"/>
      <w:r>
        <w:rPr>
          <w:rFonts w:ascii="黑体" w:eastAsia="黑体" w:hAnsi="黑体" w:hint="eastAsia"/>
          <w:sz w:val="24"/>
        </w:rPr>
        <w:t>bev</w:t>
      </w:r>
      <w:proofErr w:type="spellEnd"/>
      <w:r>
        <w:rPr>
          <w:rFonts w:ascii="黑体" w:eastAsia="黑体" w:hAnsi="黑体" w:hint="eastAsia"/>
          <w:sz w:val="24"/>
        </w:rPr>
        <w:t>）；氢燃料电池汽车（</w:t>
      </w:r>
      <w:proofErr w:type="spellStart"/>
      <w:r>
        <w:rPr>
          <w:rFonts w:ascii="黑体" w:eastAsia="黑体" w:hAnsi="黑体" w:hint="eastAsia"/>
          <w:sz w:val="24"/>
        </w:rPr>
        <w:t>fcev</w:t>
      </w:r>
      <w:proofErr w:type="spellEnd"/>
      <w:r>
        <w:rPr>
          <w:rFonts w:ascii="黑体" w:eastAsia="黑体" w:hAnsi="黑体" w:hint="eastAsia"/>
          <w:sz w:val="24"/>
        </w:rPr>
        <w:t>）、插电式混合动力汽车（</w:t>
      </w:r>
      <w:proofErr w:type="spellStart"/>
      <w:r>
        <w:rPr>
          <w:rFonts w:ascii="黑体" w:eastAsia="黑体" w:hAnsi="黑体" w:hint="eastAsia"/>
          <w:sz w:val="24"/>
        </w:rPr>
        <w:t>phev</w:t>
      </w:r>
      <w:proofErr w:type="spellEnd"/>
      <w:r>
        <w:rPr>
          <w:rFonts w:ascii="黑体" w:eastAsia="黑体" w:hAnsi="黑体" w:hint="eastAsia"/>
          <w:sz w:val="24"/>
        </w:rPr>
        <w:t>）、增程式电动车（</w:t>
      </w:r>
      <w:proofErr w:type="spellStart"/>
      <w:r>
        <w:rPr>
          <w:rFonts w:ascii="黑体" w:eastAsia="黑体" w:hAnsi="黑体" w:hint="eastAsia"/>
          <w:sz w:val="24"/>
        </w:rPr>
        <w:t>reev</w:t>
      </w:r>
      <w:proofErr w:type="spellEnd"/>
      <w:r>
        <w:rPr>
          <w:rFonts w:ascii="黑体" w:eastAsia="黑体" w:hAnsi="黑体" w:hint="eastAsia"/>
          <w:sz w:val="24"/>
        </w:rPr>
        <w:t>）等整车</w:t>
      </w:r>
    </w:p>
    <w:p w14:paraId="14517530"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传统汽车零部件：：发动机系统、底盘系统、制动系统、行驶系统、转向系统、制动系统、轮胎轮毂、智能安全系统、散热系统、排气系统、汽车玻璃、润滑油、空调系统、汽车电子、汽车照明、维修保养、汽车服务及用品</w:t>
      </w:r>
    </w:p>
    <w:p w14:paraId="14097055" w14:textId="314E23C0"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汽车工业精密铸造与压铸：汽车模具、汽车铸造件、零部件精密制造生产线及制造单元等</w:t>
      </w:r>
    </w:p>
    <w:p w14:paraId="492721B4"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零部件机加工设备与技术：金属切、削、磨、</w:t>
      </w:r>
      <w:proofErr w:type="gramStart"/>
      <w:r>
        <w:rPr>
          <w:rFonts w:ascii="黑体" w:eastAsia="黑体" w:hAnsi="黑体" w:hint="eastAsia"/>
          <w:sz w:val="24"/>
        </w:rPr>
        <w:t>铣</w:t>
      </w:r>
      <w:proofErr w:type="gramEnd"/>
      <w:r>
        <w:rPr>
          <w:rFonts w:ascii="黑体" w:eastAsia="黑体" w:hAnsi="黑体" w:hint="eastAsia"/>
          <w:sz w:val="24"/>
        </w:rPr>
        <w:t>、钻、机床设备、冲压、锻压、折弯设备及技术、数控、刀具等</w:t>
      </w:r>
    </w:p>
    <w:p w14:paraId="7D44D266"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零部件制造工艺及装备：汽车钢板、自动化及智能制造、3D打印技术、工业机器人、工业电脑、整车装备生产线、精密仪器检测、汽车设计与资讯化.</w:t>
      </w:r>
    </w:p>
    <w:p w14:paraId="5448955B"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新能源汽车及相关系统部件：整车汇流排与控制系统、电机电控及动力电池核心零部件、智能</w:t>
      </w:r>
      <w:proofErr w:type="gramStart"/>
      <w:r>
        <w:rPr>
          <w:rFonts w:ascii="黑体" w:eastAsia="黑体" w:hAnsi="黑体" w:hint="eastAsia"/>
          <w:sz w:val="24"/>
        </w:rPr>
        <w:t>传感网</w:t>
      </w:r>
      <w:proofErr w:type="gramEnd"/>
      <w:r>
        <w:rPr>
          <w:rFonts w:ascii="黑体" w:eastAsia="黑体" w:hAnsi="黑体" w:hint="eastAsia"/>
          <w:sz w:val="24"/>
        </w:rPr>
        <w:t>联技术系统、充电装置；储能装置、能源管理系统，线缆、线束、连接器等。</w:t>
      </w:r>
    </w:p>
    <w:p w14:paraId="7F969919"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汽车维修养护设备：维修检测诊断设备、清洗保养设备、</w:t>
      </w:r>
      <w:proofErr w:type="gramStart"/>
      <w:r>
        <w:rPr>
          <w:rFonts w:ascii="黑体" w:eastAsia="黑体" w:hAnsi="黑体" w:hint="eastAsia"/>
          <w:sz w:val="24"/>
        </w:rPr>
        <w:t>钣</w:t>
      </w:r>
      <w:proofErr w:type="gramEnd"/>
      <w:r>
        <w:rPr>
          <w:rFonts w:ascii="黑体" w:eastAsia="黑体" w:hAnsi="黑体" w:hint="eastAsia"/>
          <w:sz w:val="24"/>
        </w:rPr>
        <w:t>金喷漆、光膜、清洁剂等；</w:t>
      </w:r>
    </w:p>
    <w:p w14:paraId="4F7C5A81"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综合配件、通用配件、液压气动元件、密封与橡胶、汽车环保、汽车空调、五金工具，</w:t>
      </w:r>
    </w:p>
    <w:p w14:paraId="70A8DB9B"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汽车环保：氧吧、空气净化器、除臭剂、空气净化剂、</w:t>
      </w:r>
      <w:proofErr w:type="gramStart"/>
      <w:r>
        <w:rPr>
          <w:rFonts w:ascii="黑体" w:eastAsia="黑体" w:hAnsi="黑体" w:hint="eastAsia"/>
          <w:sz w:val="24"/>
        </w:rPr>
        <w:t>祛味剂</w:t>
      </w:r>
      <w:proofErr w:type="gramEnd"/>
      <w:r>
        <w:rPr>
          <w:rFonts w:ascii="黑体" w:eastAsia="黑体" w:hAnsi="黑体" w:hint="eastAsia"/>
          <w:sz w:val="24"/>
        </w:rPr>
        <w:t>、光触媒、防眩镜等。</w:t>
      </w:r>
    </w:p>
    <w:p w14:paraId="18FDB3DC" w14:textId="77777777" w:rsidR="005F6BC6" w:rsidRDefault="00E6721E" w:rsidP="009365F0">
      <w:pPr>
        <w:numPr>
          <w:ilvl w:val="0"/>
          <w:numId w:val="3"/>
        </w:numPr>
        <w:spacing w:line="320" w:lineRule="exact"/>
        <w:rPr>
          <w:rFonts w:ascii="黑体" w:eastAsia="黑体" w:hAnsi="黑体"/>
          <w:sz w:val="24"/>
        </w:rPr>
      </w:pPr>
      <w:r>
        <w:rPr>
          <w:rFonts w:ascii="黑体" w:eastAsia="黑体" w:hAnsi="黑体" w:hint="eastAsia"/>
          <w:sz w:val="24"/>
        </w:rPr>
        <w:t>汽车金融：保险、租赁、再生资源等服务产品。</w:t>
      </w:r>
    </w:p>
    <w:p w14:paraId="57E9BDC9" w14:textId="77777777" w:rsidR="005F6BC6" w:rsidRDefault="00E6721E" w:rsidP="009365F0">
      <w:pPr>
        <w:numPr>
          <w:ilvl w:val="0"/>
          <w:numId w:val="1"/>
        </w:numPr>
        <w:jc w:val="left"/>
        <w:rPr>
          <w:rFonts w:ascii="微软雅黑" w:eastAsia="微软雅黑" w:hAnsi="微软雅黑" w:cs="微软雅黑"/>
          <w:b/>
          <w:bCs/>
          <w:color w:val="1A7FDE"/>
          <w:sz w:val="28"/>
          <w:szCs w:val="36"/>
        </w:rPr>
      </w:pPr>
      <w:r>
        <w:rPr>
          <w:rFonts w:ascii="微软雅黑" w:eastAsia="微软雅黑" w:hAnsi="微软雅黑" w:cs="微软雅黑" w:hint="eastAsia"/>
          <w:b/>
          <w:bCs/>
          <w:color w:val="1A7FDE"/>
          <w:sz w:val="28"/>
          <w:szCs w:val="36"/>
        </w:rPr>
        <w:t>参展收益</w:t>
      </w:r>
    </w:p>
    <w:p w14:paraId="3D22B112" w14:textId="77777777" w:rsidR="005F6BC6" w:rsidRDefault="00E6721E" w:rsidP="009365F0">
      <w:pPr>
        <w:pStyle w:val="a5"/>
        <w:numPr>
          <w:ilvl w:val="0"/>
          <w:numId w:val="4"/>
        </w:numPr>
        <w:spacing w:line="320" w:lineRule="exact"/>
        <w:ind w:firstLineChars="0"/>
        <w:rPr>
          <w:rFonts w:ascii="黑体" w:eastAsia="黑体" w:hAnsi="黑体"/>
          <w:sz w:val="24"/>
        </w:rPr>
      </w:pPr>
      <w:r>
        <w:rPr>
          <w:rFonts w:ascii="黑体" w:eastAsia="黑体" w:hAnsi="黑体" w:hint="eastAsia"/>
          <w:sz w:val="24"/>
        </w:rPr>
        <w:t>新品发布与创新产品评奖：与全国乃至全球新品、新技术一起引发汽车产业的高度关注，参与创新产品评选。</w:t>
      </w:r>
    </w:p>
    <w:p w14:paraId="76EFCC56" w14:textId="77777777" w:rsidR="005F6BC6" w:rsidRDefault="00E6721E" w:rsidP="009365F0">
      <w:pPr>
        <w:pStyle w:val="a5"/>
        <w:numPr>
          <w:ilvl w:val="0"/>
          <w:numId w:val="4"/>
        </w:numPr>
        <w:spacing w:line="320" w:lineRule="exact"/>
        <w:ind w:firstLineChars="0"/>
        <w:rPr>
          <w:rFonts w:ascii="黑体" w:eastAsia="黑体" w:hAnsi="黑体"/>
          <w:sz w:val="24"/>
        </w:rPr>
      </w:pPr>
      <w:r>
        <w:rPr>
          <w:rFonts w:ascii="黑体" w:eastAsia="黑体" w:hAnsi="黑体" w:hint="eastAsia"/>
          <w:sz w:val="24"/>
        </w:rPr>
        <w:t>与各界汽车行业的客户直接对接：接触到企业决策者和研发工程师。</w:t>
      </w:r>
    </w:p>
    <w:p w14:paraId="687F0669" w14:textId="77777777" w:rsidR="005F6BC6" w:rsidRDefault="00E6721E" w:rsidP="009365F0">
      <w:pPr>
        <w:pStyle w:val="a5"/>
        <w:numPr>
          <w:ilvl w:val="0"/>
          <w:numId w:val="4"/>
        </w:numPr>
        <w:spacing w:line="320" w:lineRule="exact"/>
        <w:ind w:firstLineChars="0"/>
        <w:rPr>
          <w:rFonts w:ascii="黑体" w:eastAsia="黑体" w:hAnsi="黑体"/>
          <w:sz w:val="24"/>
        </w:rPr>
      </w:pPr>
      <w:r>
        <w:rPr>
          <w:rFonts w:ascii="黑体" w:eastAsia="黑体" w:hAnsi="黑体" w:hint="eastAsia"/>
          <w:sz w:val="24"/>
        </w:rPr>
        <w:t>明星效应：与国内外同行业领导厂商同台展示，切磋技术。</w:t>
      </w:r>
    </w:p>
    <w:p w14:paraId="6C25DE0E" w14:textId="77777777" w:rsidR="005F6BC6" w:rsidRDefault="00E6721E" w:rsidP="009365F0">
      <w:pPr>
        <w:pStyle w:val="a5"/>
        <w:numPr>
          <w:ilvl w:val="0"/>
          <w:numId w:val="4"/>
        </w:numPr>
        <w:spacing w:line="320" w:lineRule="exact"/>
        <w:ind w:firstLineChars="0"/>
        <w:rPr>
          <w:rFonts w:ascii="黑体" w:eastAsia="黑体" w:hAnsi="黑体"/>
          <w:sz w:val="24"/>
        </w:rPr>
      </w:pPr>
      <w:r>
        <w:rPr>
          <w:rFonts w:ascii="黑体" w:eastAsia="黑体" w:hAnsi="黑体" w:hint="eastAsia"/>
          <w:sz w:val="24"/>
        </w:rPr>
        <w:t>宣传推广：提供新品宣传、一对一采访专稿推广、</w:t>
      </w:r>
      <w:proofErr w:type="gramStart"/>
      <w:r>
        <w:rPr>
          <w:rFonts w:ascii="黑体" w:eastAsia="黑体" w:hAnsi="黑体" w:hint="eastAsia"/>
          <w:sz w:val="24"/>
        </w:rPr>
        <w:t>微博微信</w:t>
      </w:r>
      <w:proofErr w:type="gramEnd"/>
      <w:r>
        <w:rPr>
          <w:rFonts w:ascii="黑体" w:eastAsia="黑体" w:hAnsi="黑体" w:hint="eastAsia"/>
          <w:sz w:val="24"/>
        </w:rPr>
        <w:t>推广、广告宣传等大范围、高密度的强势宣传，拓展更多的商业机会。</w:t>
      </w:r>
    </w:p>
    <w:p w14:paraId="03C4BF38" w14:textId="77777777" w:rsidR="005F6BC6" w:rsidRDefault="00E6721E" w:rsidP="009365F0">
      <w:pPr>
        <w:pStyle w:val="a5"/>
        <w:numPr>
          <w:ilvl w:val="0"/>
          <w:numId w:val="4"/>
        </w:numPr>
        <w:spacing w:line="320" w:lineRule="exact"/>
        <w:ind w:firstLineChars="0"/>
        <w:rPr>
          <w:rFonts w:ascii="黑体" w:eastAsia="黑体" w:hAnsi="黑体"/>
          <w:sz w:val="24"/>
        </w:rPr>
      </w:pPr>
      <w:r>
        <w:rPr>
          <w:rFonts w:ascii="黑体" w:eastAsia="黑体" w:hAnsi="黑体" w:hint="eastAsia"/>
          <w:sz w:val="24"/>
        </w:rPr>
        <w:t>立体推广：整合媒体资源，从展会前瞻、展期报道、展后跟踪来为展商提供立体服务。</w:t>
      </w:r>
    </w:p>
    <w:p w14:paraId="2DE86BD6" w14:textId="77777777" w:rsidR="005F6BC6" w:rsidRDefault="00E6721E" w:rsidP="009365F0">
      <w:pPr>
        <w:pStyle w:val="a5"/>
        <w:numPr>
          <w:ilvl w:val="0"/>
          <w:numId w:val="4"/>
        </w:numPr>
        <w:spacing w:line="320" w:lineRule="exact"/>
        <w:ind w:firstLineChars="0"/>
        <w:rPr>
          <w:rFonts w:ascii="黑体" w:eastAsia="黑体" w:hAnsi="黑体"/>
          <w:sz w:val="24"/>
        </w:rPr>
      </w:pPr>
      <w:r>
        <w:rPr>
          <w:rFonts w:ascii="黑体" w:eastAsia="黑体" w:hAnsi="黑体" w:hint="eastAsia"/>
          <w:sz w:val="24"/>
        </w:rPr>
        <w:t>目标定位：力争办成行业领先，具有全国影响力的汽车零部件年度盛会。</w:t>
      </w:r>
    </w:p>
    <w:p w14:paraId="487DB5D3" w14:textId="77777777" w:rsidR="005F6BC6" w:rsidRDefault="00E6721E" w:rsidP="009365F0">
      <w:pPr>
        <w:pStyle w:val="a5"/>
        <w:numPr>
          <w:ilvl w:val="0"/>
          <w:numId w:val="4"/>
        </w:numPr>
        <w:spacing w:line="320" w:lineRule="exact"/>
        <w:ind w:firstLineChars="0"/>
        <w:rPr>
          <w:rFonts w:ascii="黑体" w:eastAsia="黑体" w:hAnsi="黑体"/>
          <w:sz w:val="24"/>
        </w:rPr>
      </w:pPr>
      <w:r>
        <w:rPr>
          <w:rFonts w:ascii="黑体" w:eastAsia="黑体" w:hAnsi="黑体" w:hint="eastAsia"/>
          <w:sz w:val="24"/>
        </w:rPr>
        <w:t>关注国内自主创新的企业成长；为国内成长性企业拓宽国际国内市场渠道提供平台。</w:t>
      </w:r>
    </w:p>
    <w:p w14:paraId="19B54BA0" w14:textId="77777777" w:rsidR="005F6BC6" w:rsidRDefault="00E6721E" w:rsidP="009365F0">
      <w:pPr>
        <w:pStyle w:val="a5"/>
        <w:numPr>
          <w:ilvl w:val="0"/>
          <w:numId w:val="4"/>
        </w:numPr>
        <w:spacing w:line="320" w:lineRule="exact"/>
        <w:ind w:firstLineChars="0"/>
        <w:rPr>
          <w:rFonts w:ascii="黑体" w:eastAsia="黑体" w:hAnsi="黑体"/>
          <w:sz w:val="24"/>
        </w:rPr>
      </w:pPr>
      <w:r>
        <w:rPr>
          <w:rFonts w:ascii="黑体" w:eastAsia="黑体" w:hAnsi="黑体" w:hint="eastAsia"/>
          <w:sz w:val="24"/>
        </w:rPr>
        <w:t>立体化增值服务：展会将通过展会前瞻，展期媒体采访，展后媒体报道来为展商服务。</w:t>
      </w:r>
    </w:p>
    <w:p w14:paraId="5D51C8B7" w14:textId="77777777" w:rsidR="00C46453" w:rsidRPr="009365F0" w:rsidRDefault="00C46453" w:rsidP="009365F0">
      <w:pPr>
        <w:numPr>
          <w:ilvl w:val="0"/>
          <w:numId w:val="1"/>
        </w:numPr>
        <w:jc w:val="left"/>
        <w:rPr>
          <w:rFonts w:ascii="微软雅黑" w:eastAsia="微软雅黑" w:hAnsi="微软雅黑" w:cs="微软雅黑"/>
          <w:b/>
          <w:bCs/>
          <w:color w:val="1A7FDE"/>
          <w:sz w:val="28"/>
          <w:szCs w:val="36"/>
        </w:rPr>
      </w:pPr>
      <w:bookmarkStart w:id="0" w:name="_Hlk146351034"/>
      <w:bookmarkStart w:id="1" w:name="_Hlk146546558"/>
      <w:r w:rsidRPr="009365F0">
        <w:rPr>
          <w:rFonts w:ascii="微软雅黑" w:eastAsia="微软雅黑" w:hAnsi="微软雅黑" w:cs="微软雅黑" w:hint="eastAsia"/>
          <w:b/>
          <w:bCs/>
          <w:color w:val="1A7FDE"/>
          <w:sz w:val="28"/>
          <w:szCs w:val="36"/>
        </w:rPr>
        <w:t>日程安排</w:t>
      </w:r>
    </w:p>
    <w:p w14:paraId="258DED33" w14:textId="6D57F3CA" w:rsidR="00C46453" w:rsidRPr="00CA4D05" w:rsidRDefault="00C46453" w:rsidP="009365F0">
      <w:pPr>
        <w:spacing w:line="320" w:lineRule="exact"/>
        <w:rPr>
          <w:rFonts w:ascii="黑体" w:eastAsia="黑体" w:hAnsi="黑体"/>
          <w:sz w:val="24"/>
        </w:rPr>
      </w:pPr>
      <w:r w:rsidRPr="00CA4D05">
        <w:rPr>
          <w:rFonts w:ascii="黑体" w:eastAsia="黑体" w:hAnsi="黑体" w:hint="eastAsia"/>
          <w:sz w:val="24"/>
        </w:rPr>
        <w:t xml:space="preserve">布展时间：2024年 </w:t>
      </w:r>
      <w:r w:rsidR="005930C8">
        <w:rPr>
          <w:rFonts w:ascii="黑体" w:eastAsia="黑体" w:hAnsi="黑体"/>
          <w:sz w:val="24"/>
        </w:rPr>
        <w:t>7</w:t>
      </w:r>
      <w:r w:rsidRPr="00CA4D05">
        <w:rPr>
          <w:rFonts w:ascii="黑体" w:eastAsia="黑体" w:hAnsi="黑体" w:hint="eastAsia"/>
          <w:sz w:val="24"/>
        </w:rPr>
        <w:t>月</w:t>
      </w:r>
      <w:r w:rsidR="005930C8">
        <w:rPr>
          <w:rFonts w:ascii="黑体" w:eastAsia="黑体" w:hAnsi="黑体"/>
          <w:sz w:val="24"/>
        </w:rPr>
        <w:t>30</w:t>
      </w:r>
      <w:r w:rsidRPr="00CA4D05">
        <w:rPr>
          <w:rFonts w:ascii="黑体" w:eastAsia="黑体" w:hAnsi="黑体" w:hint="eastAsia"/>
          <w:sz w:val="24"/>
        </w:rPr>
        <w:t>-</w:t>
      </w:r>
      <w:r w:rsidR="005930C8">
        <w:rPr>
          <w:rFonts w:ascii="黑体" w:eastAsia="黑体" w:hAnsi="黑体"/>
          <w:sz w:val="24"/>
        </w:rPr>
        <w:t>31</w:t>
      </w:r>
      <w:r w:rsidRPr="00CA4D05">
        <w:rPr>
          <w:rFonts w:ascii="黑体" w:eastAsia="黑体" w:hAnsi="黑体" w:hint="eastAsia"/>
          <w:sz w:val="24"/>
        </w:rPr>
        <w:t xml:space="preserve">日（9：00-16：30） 开幕时间：2024年 </w:t>
      </w:r>
      <w:r w:rsidR="005930C8">
        <w:rPr>
          <w:rFonts w:ascii="黑体" w:eastAsia="黑体" w:hAnsi="黑体"/>
          <w:sz w:val="24"/>
        </w:rPr>
        <w:t>8</w:t>
      </w:r>
      <w:r w:rsidRPr="00CA4D05">
        <w:rPr>
          <w:rFonts w:ascii="黑体" w:eastAsia="黑体" w:hAnsi="黑体" w:hint="eastAsia"/>
          <w:sz w:val="24"/>
        </w:rPr>
        <w:t xml:space="preserve"> 月1日（9：30）</w:t>
      </w:r>
    </w:p>
    <w:p w14:paraId="50D17366" w14:textId="528F4AE5" w:rsidR="00C46453" w:rsidRPr="00CA4D05" w:rsidRDefault="00C46453" w:rsidP="009365F0">
      <w:pPr>
        <w:spacing w:line="320" w:lineRule="exact"/>
        <w:rPr>
          <w:rFonts w:ascii="黑体" w:eastAsia="黑体" w:hAnsi="黑体"/>
          <w:sz w:val="24"/>
        </w:rPr>
      </w:pPr>
      <w:r w:rsidRPr="00CA4D05">
        <w:rPr>
          <w:rFonts w:ascii="黑体" w:eastAsia="黑体" w:hAnsi="黑体" w:hint="eastAsia"/>
          <w:sz w:val="24"/>
        </w:rPr>
        <w:t xml:space="preserve">展出时间：2024年 </w:t>
      </w:r>
      <w:r w:rsidR="005930C8">
        <w:rPr>
          <w:rFonts w:ascii="黑体" w:eastAsia="黑体" w:hAnsi="黑体"/>
          <w:sz w:val="24"/>
        </w:rPr>
        <w:t>8</w:t>
      </w:r>
      <w:r w:rsidRPr="00CA4D05">
        <w:rPr>
          <w:rFonts w:ascii="黑体" w:eastAsia="黑体" w:hAnsi="黑体" w:hint="eastAsia"/>
          <w:sz w:val="24"/>
        </w:rPr>
        <w:t>月</w:t>
      </w:r>
      <w:r w:rsidR="005930C8">
        <w:rPr>
          <w:rFonts w:ascii="黑体" w:eastAsia="黑体" w:hAnsi="黑体" w:hint="eastAsia"/>
          <w:sz w:val="24"/>
        </w:rPr>
        <w:t>0</w:t>
      </w:r>
      <w:r w:rsidRPr="00CA4D05">
        <w:rPr>
          <w:rFonts w:ascii="黑体" w:eastAsia="黑体" w:hAnsi="黑体" w:hint="eastAsia"/>
          <w:sz w:val="24"/>
        </w:rPr>
        <w:t>1-</w:t>
      </w:r>
      <w:r w:rsidR="005930C8">
        <w:rPr>
          <w:rFonts w:ascii="黑体" w:eastAsia="黑体" w:hAnsi="黑体"/>
          <w:sz w:val="24"/>
        </w:rPr>
        <w:t>03</w:t>
      </w:r>
      <w:r w:rsidRPr="00CA4D05">
        <w:rPr>
          <w:rFonts w:ascii="黑体" w:eastAsia="黑体" w:hAnsi="黑体" w:hint="eastAsia"/>
          <w:sz w:val="24"/>
        </w:rPr>
        <w:t xml:space="preserve">日（9：00-16：30） 闭幕时间：2024年 </w:t>
      </w:r>
      <w:r w:rsidR="005930C8">
        <w:rPr>
          <w:rFonts w:ascii="黑体" w:eastAsia="黑体" w:hAnsi="黑体"/>
          <w:sz w:val="24"/>
        </w:rPr>
        <w:t>8</w:t>
      </w:r>
      <w:r w:rsidRPr="00CA4D05">
        <w:rPr>
          <w:rFonts w:ascii="黑体" w:eastAsia="黑体" w:hAnsi="黑体" w:hint="eastAsia"/>
          <w:sz w:val="24"/>
        </w:rPr>
        <w:t xml:space="preserve"> 月</w:t>
      </w:r>
      <w:r w:rsidR="005930C8">
        <w:rPr>
          <w:rFonts w:ascii="黑体" w:eastAsia="黑体" w:hAnsi="黑体"/>
          <w:sz w:val="24"/>
        </w:rPr>
        <w:t>1</w:t>
      </w:r>
      <w:bookmarkStart w:id="2" w:name="_GoBack"/>
      <w:bookmarkEnd w:id="2"/>
      <w:r w:rsidRPr="00CA4D05">
        <w:rPr>
          <w:rFonts w:ascii="黑体" w:eastAsia="黑体" w:hAnsi="黑体" w:hint="eastAsia"/>
          <w:sz w:val="24"/>
        </w:rPr>
        <w:t>日（14：00）</w:t>
      </w:r>
    </w:p>
    <w:bookmarkEnd w:id="0"/>
    <w:p w14:paraId="0E4500E6" w14:textId="77777777" w:rsidR="00C46453" w:rsidRPr="009365F0" w:rsidRDefault="00C46453" w:rsidP="009365F0">
      <w:pPr>
        <w:numPr>
          <w:ilvl w:val="0"/>
          <w:numId w:val="1"/>
        </w:numPr>
        <w:jc w:val="left"/>
        <w:rPr>
          <w:rFonts w:ascii="微软雅黑" w:eastAsia="微软雅黑" w:hAnsi="微软雅黑" w:cs="微软雅黑"/>
          <w:b/>
          <w:bCs/>
          <w:color w:val="1A7FDE"/>
          <w:sz w:val="28"/>
          <w:szCs w:val="36"/>
        </w:rPr>
      </w:pPr>
      <w:r w:rsidRPr="009365F0">
        <w:rPr>
          <w:rFonts w:ascii="微软雅黑" w:eastAsia="微软雅黑" w:hAnsi="微软雅黑" w:cs="微软雅黑" w:hint="eastAsia"/>
          <w:b/>
          <w:bCs/>
          <w:color w:val="1A7FDE"/>
          <w:sz w:val="28"/>
          <w:szCs w:val="36"/>
        </w:rPr>
        <w:t>收费标准</w:t>
      </w:r>
    </w:p>
    <w:p w14:paraId="0840402A" w14:textId="77777777" w:rsidR="00C46453" w:rsidRDefault="00C46453" w:rsidP="009365F0">
      <w:pPr>
        <w:spacing w:line="320" w:lineRule="exact"/>
        <w:rPr>
          <w:rFonts w:ascii="黑体" w:eastAsia="黑体" w:hAnsi="黑体"/>
          <w:b/>
          <w:bCs/>
          <w:sz w:val="24"/>
        </w:rPr>
      </w:pPr>
      <w:r>
        <w:rPr>
          <w:rFonts w:ascii="黑体" w:eastAsia="黑体" w:hAnsi="黑体" w:hint="eastAsia"/>
          <w:b/>
          <w:bCs/>
          <w:sz w:val="24"/>
        </w:rPr>
        <w:t>1、展位收费标准</w:t>
      </w:r>
    </w:p>
    <w:tbl>
      <w:tblPr>
        <w:tblStyle w:val="a4"/>
        <w:tblW w:w="0" w:type="auto"/>
        <w:tblLook w:val="04A0" w:firstRow="1" w:lastRow="0" w:firstColumn="1" w:lastColumn="0" w:noHBand="0" w:noVBand="1"/>
      </w:tblPr>
      <w:tblGrid>
        <w:gridCol w:w="1809"/>
        <w:gridCol w:w="3119"/>
        <w:gridCol w:w="3685"/>
      </w:tblGrid>
      <w:tr w:rsidR="00C46453" w14:paraId="2034E670" w14:textId="77777777" w:rsidTr="008355DB">
        <w:trPr>
          <w:trHeight w:val="546"/>
        </w:trPr>
        <w:tc>
          <w:tcPr>
            <w:tcW w:w="18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593E3"/>
            <w:vAlign w:val="center"/>
          </w:tcPr>
          <w:p w14:paraId="23EA3F1C" w14:textId="77777777" w:rsidR="00C46453" w:rsidRDefault="00C46453" w:rsidP="009365F0">
            <w:pPr>
              <w:spacing w:line="320" w:lineRule="exact"/>
              <w:ind w:firstLine="482"/>
              <w:rPr>
                <w:rFonts w:ascii="黑体" w:eastAsia="黑体" w:hAnsi="黑体"/>
                <w:color w:val="FFFFFF" w:themeColor="background1"/>
                <w:sz w:val="24"/>
              </w:rPr>
            </w:pPr>
            <w:r>
              <w:rPr>
                <w:rFonts w:ascii="黑体" w:eastAsia="黑体" w:hAnsi="黑体" w:hint="eastAsia"/>
                <w:b/>
                <w:bCs/>
                <w:sz w:val="24"/>
              </w:rPr>
              <w:t>标准展位</w:t>
            </w:r>
          </w:p>
        </w:tc>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C83E352" w14:textId="77777777" w:rsidR="00C46453" w:rsidRDefault="00C46453" w:rsidP="009365F0">
            <w:pPr>
              <w:spacing w:line="320" w:lineRule="exact"/>
              <w:rPr>
                <w:rFonts w:ascii="黑体" w:eastAsia="黑体" w:hAnsi="黑体"/>
                <w:sz w:val="24"/>
              </w:rPr>
            </w:pPr>
            <w:r>
              <w:rPr>
                <w:rFonts w:ascii="黑体" w:eastAsia="黑体" w:hAnsi="黑体" w:hint="eastAsia"/>
                <w:sz w:val="24"/>
              </w:rPr>
              <w:t>标准配置：￥16800元</w:t>
            </w:r>
            <w:r>
              <w:rPr>
                <w:rFonts w:ascii="黑体" w:eastAsia="黑体" w:hAnsi="黑体"/>
                <w:sz w:val="24"/>
              </w:rPr>
              <w:t>/9</w:t>
            </w:r>
            <w:r>
              <w:rPr>
                <w:rFonts w:ascii="黑体" w:eastAsia="黑体" w:hAnsi="黑体" w:hint="eastAsia"/>
                <w:sz w:val="24"/>
              </w:rPr>
              <w:t>㎡</w:t>
            </w: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AB4ABF0" w14:textId="77777777" w:rsidR="00C46453" w:rsidRDefault="00C46453" w:rsidP="009365F0">
            <w:pPr>
              <w:spacing w:line="320" w:lineRule="exact"/>
              <w:rPr>
                <w:rFonts w:ascii="黑体" w:eastAsia="黑体" w:hAnsi="黑体"/>
                <w:sz w:val="24"/>
              </w:rPr>
            </w:pPr>
            <w:r>
              <w:rPr>
                <w:rFonts w:ascii="黑体" w:eastAsia="黑体" w:hAnsi="黑体" w:hint="eastAsia"/>
                <w:sz w:val="24"/>
              </w:rPr>
              <w:t>豪华展位：￥19800元/9㎡</w:t>
            </w:r>
          </w:p>
        </w:tc>
      </w:tr>
      <w:tr w:rsidR="00C46453" w14:paraId="1413662F" w14:textId="77777777" w:rsidTr="008355DB">
        <w:trPr>
          <w:trHeight w:val="254"/>
        </w:trPr>
        <w:tc>
          <w:tcPr>
            <w:tcW w:w="18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593E3"/>
          </w:tcPr>
          <w:p w14:paraId="28791EC5" w14:textId="77777777" w:rsidR="00C46453" w:rsidRPr="00996D89" w:rsidRDefault="00C46453" w:rsidP="009365F0">
            <w:pPr>
              <w:spacing w:line="320" w:lineRule="exact"/>
              <w:ind w:firstLine="482"/>
              <w:rPr>
                <w:rFonts w:ascii="黑体" w:eastAsia="黑体" w:hAnsi="黑体"/>
                <w:b/>
                <w:bCs/>
                <w:sz w:val="24"/>
              </w:rPr>
            </w:pPr>
            <w:r>
              <w:rPr>
                <w:rFonts w:ascii="黑体" w:eastAsia="黑体" w:hAnsi="黑体" w:hint="eastAsia"/>
                <w:b/>
                <w:bCs/>
                <w:sz w:val="24"/>
              </w:rPr>
              <w:t>室内光地</w:t>
            </w:r>
          </w:p>
        </w:tc>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99E3B5D" w14:textId="77777777" w:rsidR="00C46453" w:rsidRDefault="00C46453" w:rsidP="009365F0">
            <w:pPr>
              <w:spacing w:line="320" w:lineRule="exact"/>
              <w:ind w:firstLine="480"/>
              <w:rPr>
                <w:rFonts w:ascii="黑体" w:eastAsia="黑体" w:hAnsi="黑体"/>
                <w:sz w:val="24"/>
              </w:rPr>
            </w:pPr>
            <w:r>
              <w:rPr>
                <w:rFonts w:ascii="黑体" w:eastAsia="黑体" w:hAnsi="黑体" w:hint="eastAsia"/>
                <w:sz w:val="24"/>
              </w:rPr>
              <w:t>￥1600元/㎡</w:t>
            </w:r>
          </w:p>
        </w:tc>
        <w:tc>
          <w:tcPr>
            <w:tcW w:w="36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65849C8" w14:textId="77777777" w:rsidR="00C46453" w:rsidRDefault="00C46453" w:rsidP="009365F0">
            <w:pPr>
              <w:spacing w:line="320" w:lineRule="exact"/>
              <w:rPr>
                <w:rFonts w:ascii="黑体" w:eastAsia="黑体" w:hAnsi="黑体"/>
                <w:sz w:val="24"/>
              </w:rPr>
            </w:pPr>
            <w:r>
              <w:rPr>
                <w:rFonts w:ascii="黑体" w:eastAsia="黑体" w:hAnsi="黑体" w:hint="eastAsia"/>
                <w:sz w:val="24"/>
              </w:rPr>
              <w:t>光地自行设计搭建，无任何配置</w:t>
            </w:r>
          </w:p>
        </w:tc>
      </w:tr>
      <w:tr w:rsidR="00C46453" w14:paraId="11471529" w14:textId="77777777" w:rsidTr="008355DB">
        <w:tc>
          <w:tcPr>
            <w:tcW w:w="8613"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593E3"/>
          </w:tcPr>
          <w:p w14:paraId="4743DB76" w14:textId="77777777" w:rsidR="00C46453" w:rsidRDefault="00C46453" w:rsidP="009365F0">
            <w:pPr>
              <w:spacing w:line="320" w:lineRule="exact"/>
              <w:ind w:firstLine="440"/>
              <w:rPr>
                <w:rFonts w:ascii="黑体" w:eastAsia="黑体" w:hAnsi="黑体"/>
                <w:sz w:val="24"/>
              </w:rPr>
            </w:pPr>
            <w:r>
              <w:rPr>
                <w:rFonts w:ascii="黑体" w:eastAsia="黑体" w:hAnsi="黑体" w:hint="eastAsia"/>
                <w:sz w:val="22"/>
                <w:szCs w:val="22"/>
              </w:rPr>
              <w:lastRenderedPageBreak/>
              <w:t>标准配置：一桌二椅、二只射灯、5A/220v插座一个，双开口位置加收10%参展费用</w:t>
            </w:r>
          </w:p>
        </w:tc>
      </w:tr>
    </w:tbl>
    <w:p w14:paraId="6F0390D2" w14:textId="77777777" w:rsidR="00C46453" w:rsidRPr="002E38F7" w:rsidRDefault="00C46453" w:rsidP="009365F0">
      <w:pPr>
        <w:pStyle w:val="a5"/>
        <w:numPr>
          <w:ilvl w:val="0"/>
          <w:numId w:val="11"/>
        </w:numPr>
        <w:spacing w:line="320" w:lineRule="exact"/>
        <w:ind w:firstLineChars="0"/>
        <w:rPr>
          <w:rFonts w:ascii="黑体" w:eastAsia="黑体" w:hAnsi="黑体"/>
          <w:b/>
          <w:bCs/>
          <w:sz w:val="24"/>
        </w:rPr>
      </w:pPr>
      <w:r w:rsidRPr="002E38F7">
        <w:rPr>
          <w:rFonts w:ascii="黑体" w:eastAsia="黑体" w:hAnsi="黑体" w:hint="eastAsia"/>
          <w:b/>
          <w:bCs/>
          <w:sz w:val="24"/>
        </w:rPr>
        <w:t xml:space="preserve">收费标准 </w:t>
      </w:r>
      <w:r w:rsidRPr="002E38F7">
        <w:rPr>
          <w:rFonts w:ascii="黑体" w:eastAsia="黑体" w:hAnsi="黑体" w:hint="eastAsia"/>
          <w:sz w:val="22"/>
          <w:szCs w:val="22"/>
        </w:rPr>
        <w:t>（广告费用一次性结清）</w:t>
      </w:r>
    </w:p>
    <w:p w14:paraId="76D7BAB4" w14:textId="77777777" w:rsidR="00C46453" w:rsidRDefault="00C46453" w:rsidP="009365F0">
      <w:pPr>
        <w:spacing w:line="320" w:lineRule="exact"/>
        <w:rPr>
          <w:rFonts w:ascii="黑体" w:eastAsia="黑体" w:hAnsi="黑体"/>
          <w:sz w:val="24"/>
        </w:rPr>
      </w:pPr>
      <w:r>
        <w:rPr>
          <w:rFonts w:ascii="黑体" w:eastAsia="黑体" w:hAnsi="黑体" w:hint="eastAsia"/>
          <w:sz w:val="24"/>
        </w:rPr>
        <w:t>为了配合展览期间宣传及让客户了解并会后能与之沟通联系，将精心编印电子会刊。</w:t>
      </w:r>
    </w:p>
    <w:tbl>
      <w:tblPr>
        <w:tblpPr w:leftFromText="180" w:rightFromText="180" w:vertAnchor="text" w:horzAnchor="margin" w:tblpX="110" w:tblpY="162"/>
        <w:tblW w:w="847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384"/>
        <w:gridCol w:w="1276"/>
        <w:gridCol w:w="1276"/>
        <w:gridCol w:w="1134"/>
        <w:gridCol w:w="1134"/>
        <w:gridCol w:w="2268"/>
      </w:tblGrid>
      <w:tr w:rsidR="00C46453" w14:paraId="7963BE25" w14:textId="77777777" w:rsidTr="008355DB">
        <w:trPr>
          <w:trHeight w:hRule="exact" w:val="456"/>
        </w:trPr>
        <w:tc>
          <w:tcPr>
            <w:tcW w:w="1384" w:type="dxa"/>
            <w:tcBorders>
              <w:bottom w:val="single" w:sz="12" w:space="0" w:color="FFFFFF" w:themeColor="background1"/>
            </w:tcBorders>
            <w:shd w:val="clear" w:color="auto" w:fill="1593E3"/>
            <w:vAlign w:val="center"/>
          </w:tcPr>
          <w:p w14:paraId="4D227351"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电子会刊</w:t>
            </w:r>
          </w:p>
          <w:p w14:paraId="3DAEC1DE" w14:textId="77777777" w:rsidR="00C46453" w:rsidRDefault="00C46453" w:rsidP="009365F0">
            <w:pPr>
              <w:spacing w:line="320" w:lineRule="exact"/>
              <w:rPr>
                <w:rFonts w:ascii="黑体" w:eastAsia="黑体" w:hAnsi="黑体"/>
                <w:sz w:val="24"/>
              </w:rPr>
            </w:pPr>
          </w:p>
        </w:tc>
        <w:tc>
          <w:tcPr>
            <w:tcW w:w="1276" w:type="dxa"/>
            <w:tcBorders>
              <w:bottom w:val="single" w:sz="12" w:space="0" w:color="FFFFFF" w:themeColor="background1"/>
            </w:tcBorders>
            <w:shd w:val="clear" w:color="auto" w:fill="1593E3"/>
            <w:vAlign w:val="center"/>
          </w:tcPr>
          <w:p w14:paraId="74503A83"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封 面</w:t>
            </w:r>
          </w:p>
        </w:tc>
        <w:tc>
          <w:tcPr>
            <w:tcW w:w="1276" w:type="dxa"/>
            <w:tcBorders>
              <w:bottom w:val="single" w:sz="12" w:space="0" w:color="FFFFFF" w:themeColor="background1"/>
            </w:tcBorders>
            <w:shd w:val="clear" w:color="auto" w:fill="1593E3"/>
            <w:vAlign w:val="center"/>
          </w:tcPr>
          <w:p w14:paraId="44E19DC3"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封 底</w:t>
            </w:r>
          </w:p>
        </w:tc>
        <w:tc>
          <w:tcPr>
            <w:tcW w:w="1134" w:type="dxa"/>
            <w:tcBorders>
              <w:bottom w:val="single" w:sz="12" w:space="0" w:color="FFFFFF" w:themeColor="background1"/>
            </w:tcBorders>
            <w:shd w:val="clear" w:color="auto" w:fill="1593E3"/>
            <w:vAlign w:val="center"/>
          </w:tcPr>
          <w:p w14:paraId="1E6E2A84" w14:textId="77777777" w:rsidR="00C46453" w:rsidRDefault="00C46453" w:rsidP="009365F0">
            <w:pPr>
              <w:spacing w:line="320" w:lineRule="exact"/>
              <w:rPr>
                <w:rFonts w:ascii="黑体" w:eastAsia="黑体" w:hAnsi="黑体"/>
                <w:sz w:val="24"/>
              </w:rPr>
            </w:pPr>
            <w:r>
              <w:rPr>
                <w:rFonts w:ascii="黑体" w:eastAsia="黑体" w:hAnsi="黑体" w:hint="eastAsia"/>
                <w:sz w:val="24"/>
              </w:rPr>
              <w:t>扉页</w:t>
            </w:r>
          </w:p>
        </w:tc>
        <w:tc>
          <w:tcPr>
            <w:tcW w:w="1134" w:type="dxa"/>
            <w:tcBorders>
              <w:bottom w:val="single" w:sz="12" w:space="0" w:color="FFFFFF" w:themeColor="background1"/>
            </w:tcBorders>
            <w:shd w:val="clear" w:color="auto" w:fill="1593E3"/>
            <w:vAlign w:val="center"/>
          </w:tcPr>
          <w:p w14:paraId="0361DA48" w14:textId="77777777" w:rsidR="00C46453" w:rsidRDefault="00C46453" w:rsidP="009365F0">
            <w:pPr>
              <w:spacing w:line="320" w:lineRule="exact"/>
              <w:jc w:val="center"/>
              <w:rPr>
                <w:rFonts w:ascii="黑体" w:eastAsia="黑体" w:hAnsi="黑体"/>
                <w:sz w:val="24"/>
              </w:rPr>
            </w:pPr>
            <w:proofErr w:type="gramStart"/>
            <w:r>
              <w:rPr>
                <w:rFonts w:ascii="黑体" w:eastAsia="黑体" w:hAnsi="黑体" w:hint="eastAsia"/>
                <w:sz w:val="24"/>
              </w:rPr>
              <w:t>彩色内</w:t>
            </w:r>
            <w:proofErr w:type="gramEnd"/>
            <w:r>
              <w:rPr>
                <w:rFonts w:ascii="黑体" w:eastAsia="黑体" w:hAnsi="黑体" w:hint="eastAsia"/>
                <w:sz w:val="24"/>
              </w:rPr>
              <w:t>页</w:t>
            </w:r>
          </w:p>
        </w:tc>
        <w:tc>
          <w:tcPr>
            <w:tcW w:w="2268" w:type="dxa"/>
            <w:tcBorders>
              <w:bottom w:val="single" w:sz="12" w:space="0" w:color="FFFFFF" w:themeColor="background1"/>
            </w:tcBorders>
            <w:shd w:val="clear" w:color="auto" w:fill="1593E3"/>
          </w:tcPr>
          <w:p w14:paraId="5BFFA4D7" w14:textId="77777777" w:rsidR="00C46453" w:rsidRPr="00572376" w:rsidRDefault="00C46453" w:rsidP="009365F0">
            <w:pPr>
              <w:spacing w:line="320" w:lineRule="exact"/>
              <w:jc w:val="center"/>
              <w:rPr>
                <w:rFonts w:ascii="黑体" w:eastAsia="黑体" w:hAnsi="黑体"/>
                <w:sz w:val="24"/>
              </w:rPr>
            </w:pPr>
            <w:r w:rsidRPr="00572376">
              <w:rPr>
                <w:rFonts w:ascii="黑体" w:eastAsia="黑体" w:hAnsi="黑体" w:hint="eastAsia"/>
                <w:sz w:val="24"/>
              </w:rPr>
              <w:t>参观手册推荐展商</w:t>
            </w:r>
          </w:p>
        </w:tc>
      </w:tr>
      <w:tr w:rsidR="00C46453" w14:paraId="3C041793" w14:textId="77777777" w:rsidTr="008355DB">
        <w:trPr>
          <w:trHeight w:hRule="exact" w:val="424"/>
        </w:trPr>
        <w:tc>
          <w:tcPr>
            <w:tcW w:w="1384" w:type="dxa"/>
            <w:shd w:val="clear" w:color="auto" w:fill="F2F2F2" w:themeFill="background1" w:themeFillShade="F2"/>
            <w:vAlign w:val="center"/>
          </w:tcPr>
          <w:p w14:paraId="02827CD1"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费 用</w:t>
            </w:r>
          </w:p>
        </w:tc>
        <w:tc>
          <w:tcPr>
            <w:tcW w:w="1276" w:type="dxa"/>
            <w:shd w:val="clear" w:color="auto" w:fill="F2F2F2" w:themeFill="background1" w:themeFillShade="F2"/>
            <w:vAlign w:val="center"/>
          </w:tcPr>
          <w:p w14:paraId="62FB1CA4"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￥3</w:t>
            </w:r>
            <w:r>
              <w:rPr>
                <w:rFonts w:ascii="黑体" w:eastAsia="黑体" w:hAnsi="黑体"/>
                <w:sz w:val="24"/>
              </w:rPr>
              <w:t>0000</w:t>
            </w:r>
          </w:p>
        </w:tc>
        <w:tc>
          <w:tcPr>
            <w:tcW w:w="1276" w:type="dxa"/>
            <w:shd w:val="clear" w:color="auto" w:fill="F2F2F2" w:themeFill="background1" w:themeFillShade="F2"/>
            <w:vAlign w:val="center"/>
          </w:tcPr>
          <w:p w14:paraId="56869AB1"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￥20</w:t>
            </w:r>
            <w:r>
              <w:rPr>
                <w:rFonts w:ascii="黑体" w:eastAsia="黑体" w:hAnsi="黑体"/>
                <w:sz w:val="24"/>
              </w:rPr>
              <w:t>000</w:t>
            </w:r>
          </w:p>
        </w:tc>
        <w:tc>
          <w:tcPr>
            <w:tcW w:w="1134" w:type="dxa"/>
            <w:shd w:val="clear" w:color="auto" w:fill="F2F2F2" w:themeFill="background1" w:themeFillShade="F2"/>
            <w:vAlign w:val="center"/>
          </w:tcPr>
          <w:p w14:paraId="04E9645A"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￥1</w:t>
            </w:r>
            <w:r>
              <w:rPr>
                <w:rFonts w:ascii="黑体" w:eastAsia="黑体" w:hAnsi="黑体"/>
                <w:sz w:val="24"/>
              </w:rPr>
              <w:t>6000</w:t>
            </w:r>
          </w:p>
        </w:tc>
        <w:tc>
          <w:tcPr>
            <w:tcW w:w="1134" w:type="dxa"/>
            <w:shd w:val="clear" w:color="auto" w:fill="F2F2F2" w:themeFill="background1" w:themeFillShade="F2"/>
            <w:vAlign w:val="center"/>
          </w:tcPr>
          <w:p w14:paraId="08BB8154"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w:t>
            </w:r>
            <w:r>
              <w:rPr>
                <w:rFonts w:ascii="黑体" w:eastAsia="黑体" w:hAnsi="黑体"/>
                <w:sz w:val="24"/>
              </w:rPr>
              <w:t>5000</w:t>
            </w:r>
          </w:p>
        </w:tc>
        <w:tc>
          <w:tcPr>
            <w:tcW w:w="2268" w:type="dxa"/>
            <w:shd w:val="clear" w:color="auto" w:fill="F2F2F2" w:themeFill="background1" w:themeFillShade="F2"/>
            <w:vAlign w:val="center"/>
          </w:tcPr>
          <w:p w14:paraId="1C5D2293"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w:t>
            </w:r>
            <w:r>
              <w:rPr>
                <w:rFonts w:ascii="黑体" w:eastAsia="黑体" w:hAnsi="黑体"/>
                <w:sz w:val="24"/>
              </w:rPr>
              <w:t>6000</w:t>
            </w:r>
          </w:p>
        </w:tc>
      </w:tr>
    </w:tbl>
    <w:p w14:paraId="040948C2" w14:textId="77777777" w:rsidR="00C46453" w:rsidRDefault="00C46453" w:rsidP="009365F0">
      <w:pPr>
        <w:spacing w:line="320" w:lineRule="exact"/>
        <w:rPr>
          <w:rFonts w:ascii="微软雅黑" w:eastAsia="微软雅黑" w:hAnsi="微软雅黑"/>
          <w:b/>
          <w:bCs/>
          <w:color w:val="002060"/>
          <w:sz w:val="28"/>
          <w:szCs w:val="28"/>
        </w:rPr>
      </w:pPr>
    </w:p>
    <w:p w14:paraId="7338F298" w14:textId="77777777" w:rsidR="00C46453" w:rsidRDefault="00C46453" w:rsidP="009365F0">
      <w:pPr>
        <w:spacing w:line="320" w:lineRule="exact"/>
        <w:rPr>
          <w:rFonts w:ascii="黑体" w:eastAsia="黑体" w:hAnsi="黑体"/>
          <w:sz w:val="24"/>
        </w:rPr>
      </w:pPr>
    </w:p>
    <w:p w14:paraId="2209B64B" w14:textId="77777777" w:rsidR="009365F0" w:rsidRDefault="009365F0" w:rsidP="009365F0">
      <w:pPr>
        <w:spacing w:line="320" w:lineRule="exact"/>
        <w:rPr>
          <w:rFonts w:ascii="黑体" w:eastAsia="黑体" w:hAnsi="黑体"/>
          <w:sz w:val="24"/>
        </w:rPr>
      </w:pPr>
    </w:p>
    <w:tbl>
      <w:tblPr>
        <w:tblpPr w:leftFromText="180" w:rightFromText="180" w:vertAnchor="text" w:horzAnchor="margin" w:tblpX="110" w:tblpY="162"/>
        <w:tblW w:w="847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242"/>
        <w:gridCol w:w="2287"/>
        <w:gridCol w:w="2268"/>
        <w:gridCol w:w="2675"/>
      </w:tblGrid>
      <w:tr w:rsidR="00C46453" w14:paraId="106BA42C" w14:textId="77777777" w:rsidTr="008355DB">
        <w:trPr>
          <w:trHeight w:hRule="exact" w:val="539"/>
        </w:trPr>
        <w:tc>
          <w:tcPr>
            <w:tcW w:w="1242" w:type="dxa"/>
            <w:tcBorders>
              <w:bottom w:val="single" w:sz="12" w:space="0" w:color="FFFFFF" w:themeColor="background1"/>
            </w:tcBorders>
            <w:shd w:val="clear" w:color="auto" w:fill="1593E3"/>
            <w:vAlign w:val="center"/>
          </w:tcPr>
          <w:p w14:paraId="6ABFB34B"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类型</w:t>
            </w:r>
          </w:p>
        </w:tc>
        <w:tc>
          <w:tcPr>
            <w:tcW w:w="2287" w:type="dxa"/>
            <w:tcBorders>
              <w:bottom w:val="single" w:sz="12" w:space="0" w:color="FFFFFF" w:themeColor="background1"/>
            </w:tcBorders>
            <w:shd w:val="clear" w:color="auto" w:fill="1593E3"/>
            <w:vAlign w:val="center"/>
          </w:tcPr>
          <w:p w14:paraId="574E2AAC"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开幕式视频</w:t>
            </w:r>
          </w:p>
        </w:tc>
        <w:tc>
          <w:tcPr>
            <w:tcW w:w="2268" w:type="dxa"/>
            <w:tcBorders>
              <w:bottom w:val="single" w:sz="12" w:space="0" w:color="FFFFFF" w:themeColor="background1"/>
            </w:tcBorders>
            <w:shd w:val="clear" w:color="auto" w:fill="1593E3"/>
            <w:vAlign w:val="center"/>
          </w:tcPr>
          <w:p w14:paraId="6CC7EDEF"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 xml:space="preserve"> 桁架喷绘</w:t>
            </w:r>
          </w:p>
        </w:tc>
        <w:tc>
          <w:tcPr>
            <w:tcW w:w="2675" w:type="dxa"/>
            <w:tcBorders>
              <w:bottom w:val="single" w:sz="12" w:space="0" w:color="FFFFFF" w:themeColor="background1"/>
            </w:tcBorders>
            <w:shd w:val="clear" w:color="auto" w:fill="1593E3"/>
            <w:vAlign w:val="center"/>
          </w:tcPr>
          <w:p w14:paraId="4CFFE7C7" w14:textId="77777777" w:rsidR="00C46453" w:rsidRDefault="00C46453" w:rsidP="009365F0">
            <w:pPr>
              <w:spacing w:line="320" w:lineRule="exact"/>
              <w:jc w:val="center"/>
              <w:rPr>
                <w:rFonts w:ascii="黑体" w:eastAsia="黑体" w:hAnsi="黑体"/>
                <w:sz w:val="24"/>
              </w:rPr>
            </w:pPr>
            <w:r>
              <w:rPr>
                <w:rFonts w:ascii="仿宋" w:eastAsia="仿宋" w:hAnsi="仿宋" w:cs="仿宋" w:hint="eastAsia"/>
                <w:b/>
                <w:sz w:val="24"/>
              </w:rPr>
              <w:t>资料袋广告</w:t>
            </w:r>
          </w:p>
        </w:tc>
      </w:tr>
      <w:tr w:rsidR="00C46453" w14:paraId="24915134" w14:textId="77777777" w:rsidTr="008355DB">
        <w:trPr>
          <w:trHeight w:hRule="exact" w:val="510"/>
        </w:trPr>
        <w:tc>
          <w:tcPr>
            <w:tcW w:w="1242" w:type="dxa"/>
            <w:shd w:val="clear" w:color="auto" w:fill="F2F2F2" w:themeFill="background1" w:themeFillShade="F2"/>
            <w:vAlign w:val="center"/>
          </w:tcPr>
          <w:p w14:paraId="0C85EE86"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费 用</w:t>
            </w:r>
          </w:p>
        </w:tc>
        <w:tc>
          <w:tcPr>
            <w:tcW w:w="2287" w:type="dxa"/>
            <w:shd w:val="clear" w:color="auto" w:fill="F2F2F2" w:themeFill="background1" w:themeFillShade="F2"/>
            <w:vAlign w:val="center"/>
          </w:tcPr>
          <w:p w14:paraId="091C498C"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￥28000（限五家）</w:t>
            </w:r>
          </w:p>
        </w:tc>
        <w:tc>
          <w:tcPr>
            <w:tcW w:w="2268" w:type="dxa"/>
            <w:shd w:val="clear" w:color="auto" w:fill="F2F2F2" w:themeFill="background1" w:themeFillShade="F2"/>
            <w:vAlign w:val="center"/>
          </w:tcPr>
          <w:p w14:paraId="1D3E428C"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w:t>
            </w:r>
            <w:r>
              <w:rPr>
                <w:rFonts w:ascii="黑体" w:eastAsia="黑体" w:hAnsi="黑体"/>
                <w:sz w:val="24"/>
              </w:rPr>
              <w:t>20000</w:t>
            </w:r>
            <w:r>
              <w:rPr>
                <w:rFonts w:ascii="黑体" w:eastAsia="黑体" w:hAnsi="黑体" w:hint="eastAsia"/>
                <w:sz w:val="24"/>
              </w:rPr>
              <w:t>（3m</w:t>
            </w:r>
            <w:r>
              <w:rPr>
                <w:rFonts w:ascii="Arial" w:eastAsia="黑体" w:hAnsi="Arial" w:cs="Arial"/>
                <w:sz w:val="24"/>
              </w:rPr>
              <w:t>×</w:t>
            </w:r>
            <w:r>
              <w:rPr>
                <w:rFonts w:ascii="黑体" w:eastAsia="黑体" w:hAnsi="黑体"/>
                <w:sz w:val="24"/>
              </w:rPr>
              <w:t>5</w:t>
            </w:r>
            <w:r>
              <w:rPr>
                <w:rFonts w:ascii="黑体" w:eastAsia="黑体" w:hAnsi="黑体" w:hint="eastAsia"/>
                <w:sz w:val="24"/>
              </w:rPr>
              <w:t>m）</w:t>
            </w:r>
          </w:p>
        </w:tc>
        <w:tc>
          <w:tcPr>
            <w:tcW w:w="2675" w:type="dxa"/>
            <w:shd w:val="clear" w:color="auto" w:fill="F2F2F2" w:themeFill="background1" w:themeFillShade="F2"/>
            <w:vAlign w:val="center"/>
          </w:tcPr>
          <w:p w14:paraId="788BC1A8"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w:t>
            </w:r>
            <w:r>
              <w:rPr>
                <w:rFonts w:ascii="黑体" w:eastAsia="黑体" w:hAnsi="黑体"/>
                <w:sz w:val="24"/>
              </w:rPr>
              <w:t>60000</w:t>
            </w:r>
          </w:p>
        </w:tc>
      </w:tr>
    </w:tbl>
    <w:p w14:paraId="412FB1C8" w14:textId="77777777" w:rsidR="00C46453" w:rsidRDefault="00C46453" w:rsidP="009365F0">
      <w:pPr>
        <w:spacing w:line="320" w:lineRule="exact"/>
        <w:rPr>
          <w:rFonts w:ascii="黑体" w:eastAsia="黑体" w:hAnsi="黑体"/>
          <w:sz w:val="24"/>
        </w:rPr>
      </w:pPr>
    </w:p>
    <w:p w14:paraId="55D4AAD7" w14:textId="77777777" w:rsidR="009365F0" w:rsidRDefault="009365F0" w:rsidP="009365F0">
      <w:pPr>
        <w:spacing w:line="320" w:lineRule="exact"/>
        <w:rPr>
          <w:rFonts w:ascii="黑体" w:eastAsia="黑体" w:hAnsi="黑体"/>
          <w:sz w:val="24"/>
        </w:rPr>
      </w:pPr>
    </w:p>
    <w:p w14:paraId="70BA3D13" w14:textId="77777777" w:rsidR="009365F0" w:rsidRDefault="009365F0" w:rsidP="009365F0">
      <w:pPr>
        <w:spacing w:line="320" w:lineRule="exact"/>
        <w:rPr>
          <w:rFonts w:ascii="黑体" w:eastAsia="黑体" w:hAnsi="黑体"/>
          <w:sz w:val="24"/>
        </w:rPr>
      </w:pPr>
    </w:p>
    <w:tbl>
      <w:tblPr>
        <w:tblpPr w:leftFromText="180" w:rightFromText="180" w:vertAnchor="text" w:horzAnchor="margin" w:tblpX="110" w:tblpY="162"/>
        <w:tblW w:w="847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242"/>
        <w:gridCol w:w="1418"/>
        <w:gridCol w:w="1984"/>
        <w:gridCol w:w="1560"/>
        <w:gridCol w:w="2268"/>
      </w:tblGrid>
      <w:tr w:rsidR="00C46453" w14:paraId="4C203F67" w14:textId="77777777" w:rsidTr="008355DB">
        <w:trPr>
          <w:trHeight w:hRule="exact" w:val="539"/>
        </w:trPr>
        <w:tc>
          <w:tcPr>
            <w:tcW w:w="1242" w:type="dxa"/>
            <w:tcBorders>
              <w:bottom w:val="single" w:sz="12" w:space="0" w:color="FFFFFF" w:themeColor="background1"/>
            </w:tcBorders>
            <w:shd w:val="clear" w:color="auto" w:fill="1593E3"/>
            <w:vAlign w:val="center"/>
          </w:tcPr>
          <w:p w14:paraId="5DC40AD0"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类型</w:t>
            </w:r>
          </w:p>
        </w:tc>
        <w:tc>
          <w:tcPr>
            <w:tcW w:w="1418" w:type="dxa"/>
            <w:tcBorders>
              <w:bottom w:val="single" w:sz="12" w:space="0" w:color="FFFFFF" w:themeColor="background1"/>
            </w:tcBorders>
            <w:shd w:val="clear" w:color="auto" w:fill="1593E3"/>
            <w:vAlign w:val="center"/>
          </w:tcPr>
          <w:p w14:paraId="44DFC081" w14:textId="77777777" w:rsidR="00C46453" w:rsidRDefault="00C46453" w:rsidP="009365F0">
            <w:pPr>
              <w:spacing w:line="320" w:lineRule="exact"/>
              <w:jc w:val="center"/>
              <w:rPr>
                <w:rFonts w:ascii="黑体" w:eastAsia="黑体" w:hAnsi="黑体"/>
                <w:sz w:val="24"/>
              </w:rPr>
            </w:pPr>
            <w:proofErr w:type="gramStart"/>
            <w:r>
              <w:rPr>
                <w:rFonts w:ascii="黑体" w:eastAsia="黑体" w:hAnsi="黑体" w:hint="eastAsia"/>
                <w:sz w:val="24"/>
              </w:rPr>
              <w:t>参观证</w:t>
            </w:r>
            <w:proofErr w:type="gramEnd"/>
          </w:p>
        </w:tc>
        <w:tc>
          <w:tcPr>
            <w:tcW w:w="1984" w:type="dxa"/>
            <w:tcBorders>
              <w:bottom w:val="single" w:sz="12" w:space="0" w:color="FFFFFF" w:themeColor="background1"/>
            </w:tcBorders>
            <w:shd w:val="clear" w:color="auto" w:fill="1593E3"/>
            <w:vAlign w:val="center"/>
          </w:tcPr>
          <w:p w14:paraId="56E8E0C4"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 xml:space="preserve"> 公文包</w:t>
            </w:r>
          </w:p>
        </w:tc>
        <w:tc>
          <w:tcPr>
            <w:tcW w:w="1560" w:type="dxa"/>
            <w:tcBorders>
              <w:bottom w:val="single" w:sz="12" w:space="0" w:color="FFFFFF" w:themeColor="background1"/>
            </w:tcBorders>
            <w:shd w:val="clear" w:color="auto" w:fill="1593E3"/>
            <w:vAlign w:val="center"/>
          </w:tcPr>
          <w:p w14:paraId="3F03991E"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矿泉水</w:t>
            </w:r>
          </w:p>
        </w:tc>
        <w:tc>
          <w:tcPr>
            <w:tcW w:w="2268" w:type="dxa"/>
            <w:tcBorders>
              <w:bottom w:val="single" w:sz="12" w:space="0" w:color="FFFFFF" w:themeColor="background1"/>
            </w:tcBorders>
            <w:shd w:val="clear" w:color="auto" w:fill="1593E3"/>
            <w:vAlign w:val="center"/>
          </w:tcPr>
          <w:p w14:paraId="0815EC8B"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门票</w:t>
            </w:r>
          </w:p>
        </w:tc>
      </w:tr>
      <w:tr w:rsidR="00C46453" w14:paraId="3AA4F1E2" w14:textId="77777777" w:rsidTr="008355DB">
        <w:trPr>
          <w:trHeight w:hRule="exact" w:val="510"/>
        </w:trPr>
        <w:tc>
          <w:tcPr>
            <w:tcW w:w="1242" w:type="dxa"/>
            <w:shd w:val="clear" w:color="auto" w:fill="F2F2F2" w:themeFill="background1" w:themeFillShade="F2"/>
            <w:vAlign w:val="center"/>
          </w:tcPr>
          <w:p w14:paraId="0C2D2105"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费 用</w:t>
            </w:r>
          </w:p>
        </w:tc>
        <w:tc>
          <w:tcPr>
            <w:tcW w:w="1418" w:type="dxa"/>
            <w:shd w:val="clear" w:color="auto" w:fill="F2F2F2" w:themeFill="background1" w:themeFillShade="F2"/>
            <w:vAlign w:val="center"/>
          </w:tcPr>
          <w:p w14:paraId="3A58850C"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￥66000</w:t>
            </w:r>
          </w:p>
        </w:tc>
        <w:tc>
          <w:tcPr>
            <w:tcW w:w="1984" w:type="dxa"/>
            <w:shd w:val="clear" w:color="auto" w:fill="F2F2F2" w:themeFill="background1" w:themeFillShade="F2"/>
            <w:vAlign w:val="center"/>
          </w:tcPr>
          <w:p w14:paraId="70F4FB18"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￥30000</w:t>
            </w:r>
          </w:p>
        </w:tc>
        <w:tc>
          <w:tcPr>
            <w:tcW w:w="1560" w:type="dxa"/>
            <w:shd w:val="clear" w:color="auto" w:fill="F2F2F2" w:themeFill="background1" w:themeFillShade="F2"/>
            <w:vAlign w:val="center"/>
          </w:tcPr>
          <w:p w14:paraId="0151AA7A"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￥20000</w:t>
            </w:r>
          </w:p>
        </w:tc>
        <w:tc>
          <w:tcPr>
            <w:tcW w:w="2268" w:type="dxa"/>
            <w:shd w:val="clear" w:color="auto" w:fill="F2F2F2" w:themeFill="background1" w:themeFillShade="F2"/>
            <w:vAlign w:val="center"/>
          </w:tcPr>
          <w:p w14:paraId="3505CD62" w14:textId="77777777" w:rsidR="00C46453" w:rsidRDefault="00C46453" w:rsidP="009365F0">
            <w:pPr>
              <w:spacing w:line="320" w:lineRule="exact"/>
              <w:jc w:val="center"/>
              <w:rPr>
                <w:rFonts w:ascii="黑体" w:eastAsia="黑体" w:hAnsi="黑体"/>
                <w:sz w:val="24"/>
              </w:rPr>
            </w:pPr>
            <w:r>
              <w:rPr>
                <w:rFonts w:ascii="黑体" w:eastAsia="黑体" w:hAnsi="黑体" w:hint="eastAsia"/>
                <w:sz w:val="24"/>
              </w:rPr>
              <w:t>￥20000（5000张）</w:t>
            </w:r>
          </w:p>
        </w:tc>
      </w:tr>
    </w:tbl>
    <w:p w14:paraId="64E042CE" w14:textId="77777777" w:rsidR="00C46453" w:rsidRPr="00944F4F" w:rsidRDefault="00C46453" w:rsidP="009365F0">
      <w:pPr>
        <w:pStyle w:val="a5"/>
        <w:spacing w:line="320" w:lineRule="exact"/>
        <w:ind w:left="420" w:firstLineChars="0" w:firstLine="0"/>
        <w:rPr>
          <w:rFonts w:ascii="微软雅黑" w:eastAsia="微软雅黑" w:hAnsi="微软雅黑"/>
          <w:b/>
          <w:bCs/>
          <w:color w:val="002060"/>
          <w:sz w:val="28"/>
          <w:szCs w:val="28"/>
        </w:rPr>
      </w:pPr>
    </w:p>
    <w:p w14:paraId="0A6FB6F3" w14:textId="77777777" w:rsidR="00C46453" w:rsidRDefault="00C46453" w:rsidP="009365F0">
      <w:pPr>
        <w:pStyle w:val="a5"/>
        <w:spacing w:line="320" w:lineRule="exact"/>
        <w:ind w:left="420" w:firstLineChars="0" w:firstLine="0"/>
        <w:rPr>
          <w:rFonts w:ascii="微软雅黑" w:eastAsia="微软雅黑" w:hAnsi="微软雅黑"/>
          <w:b/>
          <w:bCs/>
          <w:color w:val="002060"/>
          <w:sz w:val="28"/>
          <w:szCs w:val="28"/>
        </w:rPr>
      </w:pPr>
    </w:p>
    <w:p w14:paraId="35EB30B3" w14:textId="77777777" w:rsidR="009365F0" w:rsidRDefault="009365F0" w:rsidP="009365F0">
      <w:pPr>
        <w:spacing w:line="320" w:lineRule="exact"/>
        <w:ind w:firstLineChars="200" w:firstLine="440"/>
        <w:rPr>
          <w:rFonts w:ascii="微软雅黑" w:eastAsia="微软雅黑" w:hAnsi="微软雅黑" w:cs="微软雅黑"/>
          <w:sz w:val="22"/>
          <w:szCs w:val="22"/>
          <w:lang w:val="zh-CN"/>
        </w:rPr>
      </w:pPr>
    </w:p>
    <w:p w14:paraId="21D6DDBD" w14:textId="77777777" w:rsidR="009365F0" w:rsidRDefault="009365F0" w:rsidP="009365F0">
      <w:pPr>
        <w:spacing w:line="320" w:lineRule="exact"/>
        <w:ind w:firstLineChars="200" w:firstLine="440"/>
        <w:rPr>
          <w:rFonts w:ascii="微软雅黑" w:eastAsia="微软雅黑" w:hAnsi="微软雅黑" w:cs="微软雅黑"/>
          <w:sz w:val="22"/>
          <w:szCs w:val="22"/>
          <w:lang w:val="zh-CN"/>
        </w:rPr>
      </w:pPr>
    </w:p>
    <w:p w14:paraId="7ACA4125" w14:textId="1AB80CFC" w:rsidR="00C46453" w:rsidRPr="007C6323" w:rsidRDefault="00C46453" w:rsidP="009365F0">
      <w:pPr>
        <w:spacing w:line="320" w:lineRule="exact"/>
        <w:ind w:firstLineChars="200" w:firstLine="440"/>
        <w:rPr>
          <w:rFonts w:ascii="黑体" w:eastAsia="黑体" w:hAnsi="黑体"/>
          <w:sz w:val="22"/>
          <w:szCs w:val="22"/>
        </w:rPr>
      </w:pPr>
      <w:r>
        <w:rPr>
          <w:rFonts w:ascii="微软雅黑" w:eastAsia="微软雅黑" w:hAnsi="微软雅黑" w:cs="微软雅黑" w:hint="eastAsia"/>
          <w:sz w:val="22"/>
          <w:szCs w:val="22"/>
          <w:lang w:val="zh-CN"/>
        </w:rPr>
        <w:t>为提升企业形象</w:t>
      </w:r>
      <w:r>
        <w:rPr>
          <w:rFonts w:ascii="黑体" w:eastAsia="黑体" w:hAnsi="黑体" w:hint="eastAsia"/>
          <w:sz w:val="22"/>
          <w:szCs w:val="22"/>
        </w:rPr>
        <w:t>和品牌的知名度，组委会特提供多种战略合作宣传机会，作为战略合作单位参与本届展会，将得到更多的增值服务宣传机会。（赞助详细资料，请致电组委会索取。）</w:t>
      </w:r>
    </w:p>
    <w:p w14:paraId="3C322379" w14:textId="1710BE6B" w:rsidR="00C46453" w:rsidRPr="009365F0" w:rsidRDefault="00C46453" w:rsidP="009365F0">
      <w:pPr>
        <w:numPr>
          <w:ilvl w:val="0"/>
          <w:numId w:val="1"/>
        </w:numPr>
        <w:jc w:val="left"/>
        <w:rPr>
          <w:rFonts w:ascii="微软雅黑" w:eastAsia="微软雅黑" w:hAnsi="微软雅黑" w:cs="微软雅黑"/>
          <w:b/>
          <w:bCs/>
          <w:color w:val="1A7FDE"/>
          <w:sz w:val="28"/>
          <w:szCs w:val="36"/>
        </w:rPr>
      </w:pPr>
      <w:r w:rsidRPr="009365F0">
        <w:rPr>
          <w:rFonts w:ascii="微软雅黑" w:eastAsia="微软雅黑" w:hAnsi="微软雅黑" w:cs="微软雅黑" w:hint="eastAsia"/>
          <w:b/>
          <w:bCs/>
          <w:color w:val="1A7FDE"/>
          <w:sz w:val="28"/>
          <w:szCs w:val="36"/>
        </w:rPr>
        <w:t>国际汽车零部件技术交流论坛</w:t>
      </w:r>
    </w:p>
    <w:p w14:paraId="6A87BCAF" w14:textId="36093266" w:rsidR="00C46453" w:rsidRPr="00AB6A02" w:rsidRDefault="00C46453" w:rsidP="009365F0">
      <w:pPr>
        <w:spacing w:line="320" w:lineRule="exact"/>
        <w:rPr>
          <w:rFonts w:ascii="黑体" w:eastAsia="黑体" w:hAnsi="黑体"/>
          <w:sz w:val="24"/>
        </w:rPr>
      </w:pPr>
      <w:r w:rsidRPr="00AB6A02">
        <w:rPr>
          <w:rFonts w:ascii="黑体" w:eastAsia="黑体" w:hAnsi="黑体" w:hint="eastAsia"/>
          <w:sz w:val="24"/>
        </w:rPr>
        <w:t>●</w:t>
      </w:r>
      <w:r w:rsidRPr="00C46453">
        <w:rPr>
          <w:rFonts w:ascii="黑体" w:eastAsia="黑体" w:hAnsi="黑体" w:hint="eastAsia"/>
          <w:sz w:val="24"/>
        </w:rPr>
        <w:t>汽车零部件技术创新与发展趋势</w:t>
      </w:r>
      <w:r>
        <w:rPr>
          <w:rFonts w:ascii="黑体" w:eastAsia="黑体" w:hAnsi="黑体" w:hint="eastAsia"/>
          <w:sz w:val="24"/>
        </w:rPr>
        <w:t xml:space="preserve"> </w:t>
      </w:r>
      <w:r>
        <w:rPr>
          <w:rFonts w:ascii="黑体" w:eastAsia="黑体" w:hAnsi="黑体"/>
          <w:sz w:val="24"/>
        </w:rPr>
        <w:t xml:space="preserve">    </w:t>
      </w:r>
      <w:r w:rsidRPr="00AB6A02">
        <w:rPr>
          <w:rFonts w:ascii="黑体" w:eastAsia="黑体" w:hAnsi="黑体" w:hint="eastAsia"/>
          <w:sz w:val="24"/>
        </w:rPr>
        <w:t>●</w:t>
      </w:r>
      <w:r w:rsidRPr="00C46453">
        <w:rPr>
          <w:rFonts w:ascii="黑体" w:eastAsia="黑体" w:hAnsi="黑体" w:hint="eastAsia"/>
          <w:sz w:val="24"/>
        </w:rPr>
        <w:t>自动驾驶技术对汽车零部件的影响与挑战</w:t>
      </w:r>
    </w:p>
    <w:p w14:paraId="745E7CB5" w14:textId="51042A8D" w:rsidR="00C46453" w:rsidRPr="00AB6A02" w:rsidRDefault="00C46453" w:rsidP="009365F0">
      <w:pPr>
        <w:spacing w:line="320" w:lineRule="exact"/>
        <w:rPr>
          <w:rFonts w:ascii="黑体" w:eastAsia="黑体" w:hAnsi="黑体"/>
          <w:sz w:val="24"/>
        </w:rPr>
      </w:pPr>
      <w:r w:rsidRPr="00AB6A02">
        <w:rPr>
          <w:rFonts w:ascii="黑体" w:eastAsia="黑体" w:hAnsi="黑体" w:hint="eastAsia"/>
          <w:sz w:val="24"/>
        </w:rPr>
        <w:t>●</w:t>
      </w:r>
      <w:r w:rsidRPr="00C46453">
        <w:rPr>
          <w:rFonts w:ascii="黑体" w:eastAsia="黑体" w:hAnsi="黑体" w:hint="eastAsia"/>
          <w:sz w:val="24"/>
        </w:rPr>
        <w:t>智能化汽车零部件的设计与开发</w:t>
      </w:r>
      <w:r w:rsidRPr="00AB6A02">
        <w:rPr>
          <w:rFonts w:ascii="黑体" w:eastAsia="黑体" w:hAnsi="黑体" w:hint="eastAsia"/>
          <w:sz w:val="24"/>
        </w:rPr>
        <w:t xml:space="preserve"> </w:t>
      </w:r>
      <w:r w:rsidRPr="00AB6A02">
        <w:rPr>
          <w:rFonts w:ascii="黑体" w:eastAsia="黑体" w:hAnsi="黑体"/>
          <w:sz w:val="24"/>
        </w:rPr>
        <w:t xml:space="preserve"> </w:t>
      </w:r>
      <w:r>
        <w:rPr>
          <w:rFonts w:ascii="黑体" w:eastAsia="黑体" w:hAnsi="黑体"/>
          <w:sz w:val="24"/>
        </w:rPr>
        <w:t xml:space="preserve">  </w:t>
      </w:r>
      <w:r w:rsidRPr="00AB6A02">
        <w:rPr>
          <w:rFonts w:ascii="黑体" w:eastAsia="黑体" w:hAnsi="黑体"/>
          <w:sz w:val="24"/>
        </w:rPr>
        <w:t xml:space="preserve"> </w:t>
      </w:r>
      <w:r w:rsidRPr="00AB6A02">
        <w:rPr>
          <w:rFonts w:ascii="黑体" w:eastAsia="黑体" w:hAnsi="黑体" w:hint="eastAsia"/>
          <w:sz w:val="24"/>
        </w:rPr>
        <w:t>●</w:t>
      </w:r>
      <w:r w:rsidRPr="00C46453">
        <w:rPr>
          <w:rFonts w:ascii="黑体" w:eastAsia="黑体" w:hAnsi="黑体" w:hint="eastAsia"/>
          <w:sz w:val="24"/>
        </w:rPr>
        <w:t>汽车轻量化技术在零部件设计和制造中的应用</w:t>
      </w:r>
    </w:p>
    <w:p w14:paraId="67E3249C" w14:textId="783C5DD3" w:rsidR="00C46453" w:rsidRDefault="00C46453" w:rsidP="009365F0">
      <w:pPr>
        <w:spacing w:line="320" w:lineRule="exact"/>
        <w:rPr>
          <w:rFonts w:ascii="黑体" w:eastAsia="黑体" w:hAnsi="黑体"/>
          <w:sz w:val="24"/>
        </w:rPr>
      </w:pPr>
      <w:r w:rsidRPr="00AB6A02">
        <w:rPr>
          <w:rFonts w:ascii="黑体" w:eastAsia="黑体" w:hAnsi="黑体" w:hint="eastAsia"/>
          <w:sz w:val="24"/>
        </w:rPr>
        <w:t>●</w:t>
      </w:r>
      <w:r w:rsidRPr="00C46453">
        <w:rPr>
          <w:rFonts w:ascii="黑体" w:eastAsia="黑体" w:hAnsi="黑体" w:hint="eastAsia"/>
          <w:sz w:val="24"/>
        </w:rPr>
        <w:t>汽车零部件供应链优化与管理</w:t>
      </w:r>
      <w:r w:rsidRPr="00AB6A02">
        <w:rPr>
          <w:rFonts w:ascii="黑体" w:eastAsia="黑体" w:hAnsi="黑体"/>
          <w:sz w:val="24"/>
        </w:rPr>
        <w:t xml:space="preserve">       </w:t>
      </w:r>
      <w:r w:rsidRPr="00AB6A02">
        <w:rPr>
          <w:rFonts w:ascii="黑体" w:eastAsia="黑体" w:hAnsi="黑体" w:hint="eastAsia"/>
          <w:sz w:val="24"/>
        </w:rPr>
        <w:t>●</w:t>
      </w:r>
      <w:r w:rsidRPr="00C46453">
        <w:rPr>
          <w:rFonts w:ascii="黑体" w:eastAsia="黑体" w:hAnsi="黑体" w:hint="eastAsia"/>
          <w:sz w:val="24"/>
        </w:rPr>
        <w:t>高效发动机零部件设计和制造</w:t>
      </w:r>
    </w:p>
    <w:p w14:paraId="1000746E" w14:textId="79A5B108" w:rsidR="00C46453" w:rsidRDefault="00C46453" w:rsidP="009365F0">
      <w:pPr>
        <w:spacing w:line="320" w:lineRule="exact"/>
        <w:rPr>
          <w:rFonts w:ascii="黑体" w:eastAsia="黑体" w:hAnsi="黑体"/>
          <w:sz w:val="24"/>
        </w:rPr>
      </w:pPr>
      <w:r w:rsidRPr="00AB6A02">
        <w:rPr>
          <w:rFonts w:ascii="黑体" w:eastAsia="黑体" w:hAnsi="黑体" w:hint="eastAsia"/>
          <w:sz w:val="24"/>
        </w:rPr>
        <w:t>●</w:t>
      </w:r>
      <w:r w:rsidRPr="00C46453">
        <w:rPr>
          <w:rFonts w:ascii="黑体" w:eastAsia="黑体" w:hAnsi="黑体" w:hint="eastAsia"/>
          <w:sz w:val="24"/>
        </w:rPr>
        <w:t>汽车底盘零部件的创新设计与制造</w:t>
      </w:r>
      <w:r>
        <w:rPr>
          <w:rFonts w:ascii="黑体" w:eastAsia="黑体" w:hAnsi="黑体" w:hint="eastAsia"/>
          <w:sz w:val="24"/>
        </w:rPr>
        <w:t xml:space="preserve"> </w:t>
      </w:r>
      <w:r>
        <w:rPr>
          <w:rFonts w:ascii="黑体" w:eastAsia="黑体" w:hAnsi="黑体"/>
          <w:sz w:val="24"/>
        </w:rPr>
        <w:t xml:space="preserve">  </w:t>
      </w:r>
      <w:r w:rsidRPr="00AB6A02">
        <w:rPr>
          <w:rFonts w:ascii="黑体" w:eastAsia="黑体" w:hAnsi="黑体" w:hint="eastAsia"/>
          <w:sz w:val="24"/>
        </w:rPr>
        <w:t>●</w:t>
      </w:r>
      <w:r w:rsidRPr="00C46453">
        <w:rPr>
          <w:rFonts w:ascii="黑体" w:eastAsia="黑体" w:hAnsi="黑体" w:hint="eastAsia"/>
          <w:sz w:val="24"/>
        </w:rPr>
        <w:t>新材料在汽车零部件中的应用与发展</w:t>
      </w:r>
      <w:r w:rsidRPr="00AB6A02">
        <w:rPr>
          <w:rFonts w:ascii="黑体" w:eastAsia="黑体" w:hAnsi="黑体" w:hint="eastAsia"/>
          <w:sz w:val="24"/>
        </w:rPr>
        <w:t xml:space="preserve"> </w:t>
      </w:r>
      <w:r w:rsidRPr="00AB6A02">
        <w:rPr>
          <w:rFonts w:ascii="黑体" w:eastAsia="黑体" w:hAnsi="黑体"/>
          <w:sz w:val="24"/>
        </w:rPr>
        <w:t xml:space="preserve">                  </w:t>
      </w:r>
    </w:p>
    <w:p w14:paraId="7C7F47D2" w14:textId="78660748" w:rsidR="00C46453" w:rsidRPr="00AB6A02" w:rsidRDefault="00C46453" w:rsidP="009365F0">
      <w:pPr>
        <w:spacing w:line="320" w:lineRule="exact"/>
        <w:rPr>
          <w:rFonts w:ascii="黑体" w:eastAsia="黑体" w:hAnsi="黑体"/>
          <w:sz w:val="24"/>
        </w:rPr>
      </w:pPr>
      <w:r w:rsidRPr="00AB6A02">
        <w:rPr>
          <w:rFonts w:ascii="黑体" w:eastAsia="黑体" w:hAnsi="黑体" w:hint="eastAsia"/>
          <w:sz w:val="24"/>
        </w:rPr>
        <w:t>●</w:t>
      </w:r>
      <w:r w:rsidRPr="00C46453">
        <w:rPr>
          <w:rFonts w:ascii="黑体" w:eastAsia="黑体" w:hAnsi="黑体" w:hint="eastAsia"/>
          <w:sz w:val="24"/>
        </w:rPr>
        <w:t>汽车座椅、仪表盘、音响等内部装饰零部件的设计和制造</w:t>
      </w:r>
    </w:p>
    <w:p w14:paraId="39F33568" w14:textId="77777777" w:rsidR="00C46453" w:rsidRPr="009365F0" w:rsidRDefault="00C46453" w:rsidP="009365F0">
      <w:pPr>
        <w:numPr>
          <w:ilvl w:val="0"/>
          <w:numId w:val="1"/>
        </w:numPr>
        <w:jc w:val="left"/>
        <w:rPr>
          <w:rFonts w:ascii="微软雅黑" w:eastAsia="微软雅黑" w:hAnsi="微软雅黑" w:cs="微软雅黑"/>
          <w:b/>
          <w:bCs/>
          <w:color w:val="1A7FDE"/>
          <w:sz w:val="28"/>
          <w:szCs w:val="36"/>
        </w:rPr>
      </w:pPr>
      <w:r w:rsidRPr="009365F0">
        <w:rPr>
          <w:rFonts w:ascii="微软雅黑" w:eastAsia="微软雅黑" w:hAnsi="微软雅黑" w:cs="微软雅黑" w:hint="eastAsia"/>
          <w:b/>
          <w:bCs/>
          <w:color w:val="1A7FDE"/>
          <w:sz w:val="28"/>
          <w:szCs w:val="36"/>
        </w:rPr>
        <w:t>参展程序</w:t>
      </w:r>
    </w:p>
    <w:p w14:paraId="4254A2D5" w14:textId="77777777" w:rsidR="00C46453" w:rsidRDefault="00C46453" w:rsidP="009365F0">
      <w:pPr>
        <w:pStyle w:val="a5"/>
        <w:numPr>
          <w:ilvl w:val="0"/>
          <w:numId w:val="9"/>
        </w:numPr>
        <w:spacing w:line="320" w:lineRule="exact"/>
        <w:ind w:firstLineChars="0"/>
        <w:rPr>
          <w:rFonts w:ascii="黑体" w:eastAsia="黑体" w:hAnsi="黑体"/>
          <w:sz w:val="24"/>
        </w:rPr>
      </w:pPr>
      <w:r>
        <w:rPr>
          <w:rFonts w:ascii="黑体" w:eastAsia="黑体" w:hAnsi="黑体" w:hint="eastAsia"/>
          <w:sz w:val="24"/>
        </w:rPr>
        <w:t>参展单位请详细填写《参展申请表》，加盖公章后传真或交寄至大会组委会。</w:t>
      </w:r>
    </w:p>
    <w:p w14:paraId="43F7AD3B" w14:textId="77777777" w:rsidR="00C46453" w:rsidRDefault="00C46453" w:rsidP="009365F0">
      <w:pPr>
        <w:pStyle w:val="a5"/>
        <w:numPr>
          <w:ilvl w:val="0"/>
          <w:numId w:val="9"/>
        </w:numPr>
        <w:spacing w:line="320" w:lineRule="exact"/>
        <w:ind w:firstLineChars="0"/>
        <w:rPr>
          <w:rFonts w:ascii="黑体" w:eastAsia="黑体" w:hAnsi="黑体"/>
          <w:sz w:val="24"/>
        </w:rPr>
      </w:pPr>
      <w:r>
        <w:rPr>
          <w:rFonts w:ascii="黑体" w:eastAsia="黑体" w:hAnsi="黑体" w:hint="eastAsia"/>
          <w:sz w:val="24"/>
        </w:rPr>
        <w:t>企业报名后</w:t>
      </w:r>
      <w:r>
        <w:rPr>
          <w:rFonts w:ascii="黑体" w:eastAsia="黑体" w:hAnsi="黑体"/>
          <w:sz w:val="24"/>
        </w:rPr>
        <w:t>5</w:t>
      </w:r>
      <w:r>
        <w:rPr>
          <w:rFonts w:ascii="黑体" w:eastAsia="黑体" w:hAnsi="黑体" w:hint="eastAsia"/>
          <w:sz w:val="24"/>
        </w:rPr>
        <w:t>个工作日内将参展费用汇入大会指定</w:t>
      </w:r>
      <w:proofErr w:type="gramStart"/>
      <w:r>
        <w:rPr>
          <w:rFonts w:ascii="黑体" w:eastAsia="黑体" w:hAnsi="黑体" w:hint="eastAsia"/>
          <w:sz w:val="24"/>
        </w:rPr>
        <w:t>帐号</w:t>
      </w:r>
      <w:proofErr w:type="gramEnd"/>
      <w:r>
        <w:rPr>
          <w:rFonts w:ascii="黑体" w:eastAsia="黑体" w:hAnsi="黑体" w:hint="eastAsia"/>
          <w:sz w:val="24"/>
        </w:rPr>
        <w:t>从而确定展位。</w:t>
      </w:r>
    </w:p>
    <w:p w14:paraId="0FBD80D6" w14:textId="77777777" w:rsidR="00C46453" w:rsidRDefault="00C46453" w:rsidP="009365F0">
      <w:pPr>
        <w:pStyle w:val="a5"/>
        <w:numPr>
          <w:ilvl w:val="0"/>
          <w:numId w:val="9"/>
        </w:numPr>
        <w:spacing w:line="320" w:lineRule="exact"/>
        <w:ind w:firstLineChars="0"/>
        <w:rPr>
          <w:rFonts w:ascii="黑体" w:eastAsia="黑体" w:hAnsi="黑体"/>
          <w:sz w:val="24"/>
        </w:rPr>
      </w:pPr>
      <w:r>
        <w:rPr>
          <w:rFonts w:ascii="黑体" w:eastAsia="黑体" w:hAnsi="黑体" w:hint="eastAsia"/>
          <w:sz w:val="24"/>
        </w:rPr>
        <w:t>展位、广告等由组委会统一安排，“先申请、先付款、先分配”。</w:t>
      </w:r>
    </w:p>
    <w:p w14:paraId="74044165" w14:textId="77777777" w:rsidR="00C46453" w:rsidRDefault="00C46453" w:rsidP="009365F0">
      <w:pPr>
        <w:pStyle w:val="a5"/>
        <w:numPr>
          <w:ilvl w:val="0"/>
          <w:numId w:val="9"/>
        </w:numPr>
        <w:spacing w:line="320" w:lineRule="exact"/>
        <w:ind w:firstLineChars="0"/>
        <w:rPr>
          <w:rFonts w:ascii="黑体" w:eastAsia="黑体" w:hAnsi="黑体"/>
          <w:sz w:val="24"/>
        </w:rPr>
      </w:pPr>
      <w:r>
        <w:rPr>
          <w:rFonts w:ascii="黑体" w:eastAsia="黑体" w:hAnsi="黑体" w:hint="eastAsia"/>
          <w:sz w:val="24"/>
        </w:rPr>
        <w:t>不可抗拒因素如自然灾害、政府行为、社会异常事件等，组织单位可以延迟或取消展会。</w:t>
      </w:r>
    </w:p>
    <w:p w14:paraId="624DAD9C" w14:textId="77777777" w:rsidR="00C46453" w:rsidRDefault="00C46453" w:rsidP="009365F0">
      <w:pPr>
        <w:pStyle w:val="a5"/>
        <w:numPr>
          <w:ilvl w:val="0"/>
          <w:numId w:val="9"/>
        </w:numPr>
        <w:spacing w:line="320" w:lineRule="exact"/>
        <w:ind w:firstLineChars="0"/>
        <w:rPr>
          <w:rFonts w:ascii="黑体" w:eastAsia="黑体" w:hAnsi="黑体"/>
          <w:sz w:val="24"/>
        </w:rPr>
      </w:pPr>
      <w:r>
        <w:rPr>
          <w:rFonts w:ascii="黑体" w:eastAsia="黑体" w:hAnsi="黑体" w:hint="eastAsia"/>
          <w:sz w:val="24"/>
        </w:rPr>
        <w:t>特别提示：所租用展位严禁转租、转售展位。不准展出假冒侵权产品,以及在展厅内现场零售展品或出售其他商品。一经发现组委会将取消参展资格，展位费用不再退还。</w:t>
      </w:r>
    </w:p>
    <w:p w14:paraId="770ABE46" w14:textId="1A47B976" w:rsidR="00A80346" w:rsidRDefault="00C46453" w:rsidP="00A80346">
      <w:pPr>
        <w:pStyle w:val="a5"/>
        <w:numPr>
          <w:ilvl w:val="0"/>
          <w:numId w:val="12"/>
        </w:numPr>
        <w:ind w:firstLineChars="0"/>
        <w:rPr>
          <w:rFonts w:ascii="微软雅黑" w:eastAsia="微软雅黑" w:hAnsi="微软雅黑"/>
          <w:b/>
          <w:bCs/>
          <w:color w:val="1A7FDE"/>
          <w:sz w:val="28"/>
          <w:szCs w:val="28"/>
        </w:rPr>
      </w:pPr>
      <w:r w:rsidRPr="009365F0">
        <w:rPr>
          <w:rFonts w:ascii="微软雅黑" w:eastAsia="微软雅黑" w:hAnsi="微软雅黑" w:cs="微软雅黑" w:hint="eastAsia"/>
          <w:b/>
          <w:bCs/>
          <w:color w:val="1A7FDE"/>
          <w:sz w:val="28"/>
          <w:szCs w:val="36"/>
        </w:rPr>
        <w:t>大会组委</w:t>
      </w:r>
      <w:bookmarkEnd w:id="1"/>
    </w:p>
    <w:p w14:paraId="72328175" w14:textId="79E7E7E9" w:rsidR="00A80346" w:rsidRDefault="00A80346" w:rsidP="00A80346">
      <w:pPr>
        <w:pStyle w:val="a5"/>
        <w:spacing w:line="400" w:lineRule="exact"/>
        <w:ind w:left="420" w:firstLineChars="100" w:firstLine="210"/>
        <w:rPr>
          <w:rFonts w:ascii="黑体" w:eastAsia="黑体" w:hAnsi="黑体"/>
          <w:b/>
          <w:bCs/>
          <w:sz w:val="28"/>
          <w:szCs w:val="28"/>
        </w:rPr>
      </w:pPr>
      <w:r>
        <w:rPr>
          <w:rFonts w:hint="eastAsia"/>
          <w:noProof/>
        </w:rPr>
        <w:drawing>
          <wp:anchor distT="0" distB="0" distL="114300" distR="114300" simplePos="0" relativeHeight="251661312" behindDoc="0" locked="0" layoutInCell="0" allowOverlap="1" wp14:anchorId="4BBB99DE" wp14:editId="3607FE12">
            <wp:simplePos x="0" y="0"/>
            <wp:positionH relativeFrom="column">
              <wp:posOffset>118110</wp:posOffset>
            </wp:positionH>
            <wp:positionV relativeFrom="paragraph">
              <wp:posOffset>67310</wp:posOffset>
            </wp:positionV>
            <wp:extent cx="1860550" cy="610870"/>
            <wp:effectExtent l="0" t="0" r="6350" b="0"/>
            <wp:wrapSquare wrapText="bothSides"/>
            <wp:docPr id="17837934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Rot="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610870"/>
                    </a:xfrm>
                    <a:prstGeom prst="rect">
                      <a:avLst/>
                    </a:prstGeom>
                    <a:noFill/>
                  </pic:spPr>
                </pic:pic>
              </a:graphicData>
            </a:graphic>
            <wp14:sizeRelH relativeFrom="page">
              <wp14:pctWidth>0</wp14:pctWidth>
            </wp14:sizeRelH>
            <wp14:sizeRelV relativeFrom="page">
              <wp14:pctHeight>0</wp14:pctHeight>
            </wp14:sizeRelV>
          </wp:anchor>
        </w:drawing>
      </w:r>
      <w:r>
        <w:rPr>
          <w:rFonts w:ascii="黑体" w:eastAsia="黑体" w:hAnsi="黑体" w:hint="eastAsia"/>
          <w:b/>
          <w:bCs/>
          <w:sz w:val="28"/>
          <w:szCs w:val="28"/>
        </w:rPr>
        <w:t>北京亚太瑞斯会展服务有限公司</w:t>
      </w:r>
    </w:p>
    <w:p w14:paraId="169D536D" w14:textId="0797A23D" w:rsidR="00A80346" w:rsidRDefault="00A80346" w:rsidP="00A80346">
      <w:pPr>
        <w:pStyle w:val="a5"/>
        <w:spacing w:line="400" w:lineRule="exact"/>
        <w:ind w:left="420" w:firstLineChars="100" w:firstLine="240"/>
        <w:rPr>
          <w:rFonts w:ascii="黑体" w:eastAsia="黑体" w:hAnsi="黑体"/>
          <w:sz w:val="24"/>
        </w:rPr>
      </w:pPr>
      <w:r>
        <w:rPr>
          <w:rFonts w:ascii="黑体" w:eastAsia="黑体" w:hAnsi="黑体" w:hint="eastAsia"/>
          <w:sz w:val="24"/>
        </w:rPr>
        <w:t>联系人：</w:t>
      </w:r>
      <w:r w:rsidR="003A4FC0">
        <w:rPr>
          <w:rFonts w:ascii="黑体" w:eastAsia="黑体" w:hAnsi="黑体" w:hint="eastAsia"/>
          <w:sz w:val="24"/>
        </w:rPr>
        <w:t>李宽</w:t>
      </w:r>
      <w:r>
        <w:rPr>
          <w:rFonts w:ascii="黑体" w:eastAsia="黑体" w:hAnsi="黑体" w:hint="eastAsia"/>
          <w:sz w:val="24"/>
        </w:rPr>
        <w:t xml:space="preserve"> </w:t>
      </w:r>
      <w:r>
        <w:rPr>
          <w:rFonts w:ascii="黑体" w:eastAsia="黑体" w:hAnsi="黑体"/>
          <w:sz w:val="24"/>
        </w:rPr>
        <w:t xml:space="preserve">        </w:t>
      </w:r>
      <w:r>
        <w:rPr>
          <w:rFonts w:ascii="黑体" w:eastAsia="黑体" w:hAnsi="黑体" w:hint="eastAsia"/>
          <w:sz w:val="24"/>
        </w:rPr>
        <w:t xml:space="preserve">  手机/微信：</w:t>
      </w:r>
      <w:r w:rsidR="00446F6A">
        <w:rPr>
          <w:rFonts w:ascii="黑体" w:eastAsia="黑体" w:hAnsi="黑体" w:hint="eastAsia"/>
          <w:sz w:val="24"/>
        </w:rPr>
        <w:t>1</w:t>
      </w:r>
      <w:r w:rsidR="00446F6A">
        <w:rPr>
          <w:rFonts w:ascii="黑体" w:eastAsia="黑体" w:hAnsi="黑体"/>
          <w:sz w:val="24"/>
        </w:rPr>
        <w:t>3241025506</w:t>
      </w:r>
      <w:r>
        <w:rPr>
          <w:rFonts w:ascii="黑体" w:eastAsia="黑体" w:hAnsi="黑体"/>
          <w:sz w:val="24"/>
        </w:rPr>
        <w:t xml:space="preserve"> </w:t>
      </w:r>
    </w:p>
    <w:p w14:paraId="2C96420F" w14:textId="044448AB" w:rsidR="00A80346" w:rsidRDefault="00A80346" w:rsidP="00A80346">
      <w:pPr>
        <w:pStyle w:val="a5"/>
        <w:spacing w:line="400" w:lineRule="exact"/>
        <w:ind w:left="420" w:firstLineChars="100" w:firstLine="240"/>
        <w:rPr>
          <w:rFonts w:ascii="黑体" w:eastAsia="黑体" w:hAnsi="黑体"/>
          <w:sz w:val="24"/>
        </w:rPr>
      </w:pPr>
      <w:r>
        <w:rPr>
          <w:rFonts w:ascii="黑体" w:eastAsia="黑体" w:hAnsi="黑体" w:hint="eastAsia"/>
          <w:sz w:val="24"/>
        </w:rPr>
        <w:t>E-mail：</w:t>
      </w:r>
      <w:r>
        <w:rPr>
          <w:rFonts w:ascii="黑体" w:eastAsia="黑体" w:hAnsi="黑体"/>
          <w:sz w:val="24"/>
        </w:rPr>
        <w:t xml:space="preserve"> </w:t>
      </w:r>
      <w:r w:rsidR="00446F6A">
        <w:rPr>
          <w:rFonts w:ascii="黑体" w:eastAsia="黑体" w:hAnsi="黑体"/>
          <w:sz w:val="24"/>
        </w:rPr>
        <w:t>1647980459@qq.com</w:t>
      </w:r>
    </w:p>
    <w:p w14:paraId="253BCC0B" w14:textId="1B70FB8A" w:rsidR="005F6BC6" w:rsidRPr="009365F0" w:rsidRDefault="005F6BC6" w:rsidP="00A80346">
      <w:pPr>
        <w:ind w:left="420"/>
        <w:jc w:val="left"/>
        <w:rPr>
          <w:rFonts w:ascii="黑体" w:eastAsia="黑体" w:hAnsi="黑体"/>
          <w:sz w:val="24"/>
        </w:rPr>
      </w:pPr>
    </w:p>
    <w:sectPr w:rsidR="005F6BC6" w:rsidRPr="009365F0">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24F0" w14:textId="77777777" w:rsidR="00041580" w:rsidRDefault="00041580" w:rsidP="00611ADF">
      <w:r>
        <w:separator/>
      </w:r>
    </w:p>
  </w:endnote>
  <w:endnote w:type="continuationSeparator" w:id="0">
    <w:p w14:paraId="5A828B89" w14:textId="77777777" w:rsidR="00041580" w:rsidRDefault="00041580" w:rsidP="0061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2559" w14:textId="77777777" w:rsidR="00041580" w:rsidRDefault="00041580" w:rsidP="00611ADF">
      <w:r>
        <w:separator/>
      </w:r>
    </w:p>
  </w:footnote>
  <w:footnote w:type="continuationSeparator" w:id="0">
    <w:p w14:paraId="317E4201" w14:textId="77777777" w:rsidR="00041580" w:rsidRDefault="00041580" w:rsidP="0061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C31DC9"/>
    <w:multiLevelType w:val="singleLevel"/>
    <w:tmpl w:val="9EC31DC9"/>
    <w:lvl w:ilvl="0">
      <w:start w:val="1"/>
      <w:numFmt w:val="bullet"/>
      <w:lvlText w:val=""/>
      <w:lvlJc w:val="left"/>
      <w:pPr>
        <w:ind w:left="420" w:hanging="420"/>
      </w:pPr>
      <w:rPr>
        <w:rFonts w:ascii="Wingdings" w:hAnsi="Wingdings" w:hint="default"/>
        <w:color w:val="1A7FDE"/>
      </w:rPr>
    </w:lvl>
  </w:abstractNum>
  <w:abstractNum w:abstractNumId="1" w15:restartNumberingAfterBreak="0">
    <w:nsid w:val="A149AE8D"/>
    <w:multiLevelType w:val="singleLevel"/>
    <w:tmpl w:val="A149AE8D"/>
    <w:lvl w:ilvl="0">
      <w:start w:val="2"/>
      <w:numFmt w:val="chineseCounting"/>
      <w:suff w:val="nothing"/>
      <w:lvlText w:val="%1、"/>
      <w:lvlJc w:val="left"/>
      <w:rPr>
        <w:rFonts w:hint="eastAsia"/>
      </w:rPr>
    </w:lvl>
  </w:abstractNum>
  <w:abstractNum w:abstractNumId="2" w15:restartNumberingAfterBreak="0">
    <w:nsid w:val="CB790E59"/>
    <w:multiLevelType w:val="singleLevel"/>
    <w:tmpl w:val="CB790E59"/>
    <w:lvl w:ilvl="0">
      <w:start w:val="1"/>
      <w:numFmt w:val="bullet"/>
      <w:lvlText w:val=""/>
      <w:lvlJc w:val="left"/>
      <w:pPr>
        <w:ind w:left="420" w:hanging="420"/>
      </w:pPr>
      <w:rPr>
        <w:rFonts w:ascii="Wingdings" w:hAnsi="Wingdings" w:hint="default"/>
        <w:color w:val="1A7FDE"/>
      </w:rPr>
    </w:lvl>
  </w:abstractNum>
  <w:abstractNum w:abstractNumId="3" w15:restartNumberingAfterBreak="0">
    <w:nsid w:val="E6F0F006"/>
    <w:multiLevelType w:val="singleLevel"/>
    <w:tmpl w:val="E6F0F006"/>
    <w:lvl w:ilvl="0">
      <w:start w:val="1"/>
      <w:numFmt w:val="bullet"/>
      <w:lvlText w:val=""/>
      <w:lvlJc w:val="left"/>
      <w:pPr>
        <w:ind w:left="420" w:hanging="420"/>
      </w:pPr>
      <w:rPr>
        <w:rFonts w:ascii="Wingdings" w:hAnsi="Wingdings" w:hint="default"/>
        <w:color w:val="1A7FDE"/>
      </w:rPr>
    </w:lvl>
  </w:abstractNum>
  <w:abstractNum w:abstractNumId="4" w15:restartNumberingAfterBreak="0">
    <w:nsid w:val="0B394B2A"/>
    <w:multiLevelType w:val="multilevel"/>
    <w:tmpl w:val="0B394B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7D393A"/>
    <w:multiLevelType w:val="multilevel"/>
    <w:tmpl w:val="177D393A"/>
    <w:lvl w:ilvl="0">
      <w:start w:val="1"/>
      <w:numFmt w:val="bullet"/>
      <w:lvlText w:val=""/>
      <w:lvlJc w:val="left"/>
      <w:pPr>
        <w:ind w:left="420" w:hanging="420"/>
      </w:pPr>
      <w:rPr>
        <w:rFonts w:ascii="Wingdings" w:hAnsi="Wingdings" w:hint="default"/>
        <w:color w:val="1A7FD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A4F20B"/>
    <w:multiLevelType w:val="singleLevel"/>
    <w:tmpl w:val="29A4F20B"/>
    <w:lvl w:ilvl="0">
      <w:start w:val="1"/>
      <w:numFmt w:val="bullet"/>
      <w:lvlText w:val=""/>
      <w:lvlJc w:val="left"/>
      <w:pPr>
        <w:ind w:left="420" w:hanging="420"/>
      </w:pPr>
      <w:rPr>
        <w:rFonts w:ascii="Wingdings" w:hAnsi="Wingdings" w:hint="default"/>
      </w:rPr>
    </w:lvl>
  </w:abstractNum>
  <w:abstractNum w:abstractNumId="7" w15:restartNumberingAfterBreak="0">
    <w:nsid w:val="2CF4036E"/>
    <w:multiLevelType w:val="singleLevel"/>
    <w:tmpl w:val="2CF4036E"/>
    <w:lvl w:ilvl="0">
      <w:start w:val="2"/>
      <w:numFmt w:val="decimal"/>
      <w:lvlText w:val="%1."/>
      <w:lvlJc w:val="left"/>
      <w:pPr>
        <w:tabs>
          <w:tab w:val="left" w:pos="312"/>
        </w:tabs>
      </w:pPr>
    </w:lvl>
  </w:abstractNum>
  <w:abstractNum w:abstractNumId="8" w15:restartNumberingAfterBreak="0">
    <w:nsid w:val="5C13ED26"/>
    <w:multiLevelType w:val="singleLevel"/>
    <w:tmpl w:val="5C13ED26"/>
    <w:lvl w:ilvl="0">
      <w:start w:val="1"/>
      <w:numFmt w:val="bullet"/>
      <w:lvlText w:val=""/>
      <w:lvlJc w:val="left"/>
      <w:pPr>
        <w:ind w:left="420" w:hanging="420"/>
      </w:pPr>
      <w:rPr>
        <w:rFonts w:ascii="Wingdings" w:hAnsi="Wingdings" w:hint="default"/>
        <w:color w:val="1A7FDE"/>
      </w:rPr>
    </w:lvl>
  </w:abstractNum>
  <w:abstractNum w:abstractNumId="9" w15:restartNumberingAfterBreak="0">
    <w:nsid w:val="67A867D6"/>
    <w:multiLevelType w:val="multilevel"/>
    <w:tmpl w:val="67A867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3722817"/>
    <w:multiLevelType w:val="hybridMultilevel"/>
    <w:tmpl w:val="00262DE0"/>
    <w:lvl w:ilvl="0" w:tplc="33245262">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8"/>
  </w:num>
  <w:num w:numId="3">
    <w:abstractNumId w:val="6"/>
  </w:num>
  <w:num w:numId="4">
    <w:abstractNumId w:val="9"/>
  </w:num>
  <w:num w:numId="5">
    <w:abstractNumId w:val="5"/>
  </w:num>
  <w:num w:numId="6">
    <w:abstractNumId w:val="1"/>
  </w:num>
  <w:num w:numId="7">
    <w:abstractNumId w:val="7"/>
  </w:num>
  <w:num w:numId="8">
    <w:abstractNumId w:val="2"/>
  </w:num>
  <w:num w:numId="9">
    <w:abstractNumId w:val="4"/>
  </w:num>
  <w:num w:numId="10">
    <w:abstractNumId w:val="3"/>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MwZGM3MGMzMTViNGQ3MDI5ZDgzMjM0OTMyMmNjMjQifQ=="/>
  </w:docVars>
  <w:rsids>
    <w:rsidRoot w:val="005F6BC6"/>
    <w:rsid w:val="00041580"/>
    <w:rsid w:val="00260D47"/>
    <w:rsid w:val="003A4FC0"/>
    <w:rsid w:val="00446F6A"/>
    <w:rsid w:val="005930C8"/>
    <w:rsid w:val="005F6BC6"/>
    <w:rsid w:val="00611ADF"/>
    <w:rsid w:val="0065614B"/>
    <w:rsid w:val="006B1944"/>
    <w:rsid w:val="00794F79"/>
    <w:rsid w:val="008B7A1E"/>
    <w:rsid w:val="009365F0"/>
    <w:rsid w:val="00A3380B"/>
    <w:rsid w:val="00A80346"/>
    <w:rsid w:val="00B54227"/>
    <w:rsid w:val="00B67E20"/>
    <w:rsid w:val="00B9099E"/>
    <w:rsid w:val="00BB5B89"/>
    <w:rsid w:val="00C46453"/>
    <w:rsid w:val="00E65512"/>
    <w:rsid w:val="00E6721E"/>
    <w:rsid w:val="00F2081E"/>
    <w:rsid w:val="21DB5511"/>
    <w:rsid w:val="2F751DCD"/>
    <w:rsid w:val="3BE77552"/>
    <w:rsid w:val="4A8B0324"/>
    <w:rsid w:val="4C165929"/>
    <w:rsid w:val="4E1A717D"/>
    <w:rsid w:val="52D76E75"/>
    <w:rsid w:val="60305C68"/>
    <w:rsid w:val="61425401"/>
    <w:rsid w:val="70F25AEA"/>
    <w:rsid w:val="73076EFF"/>
    <w:rsid w:val="7679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7DA7B"/>
  <w15:docId w15:val="{3ACE0BA2-E314-4395-85A6-248B4895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pPr>
      <w:ind w:firstLineChars="200" w:firstLine="420"/>
    </w:pPr>
  </w:style>
  <w:style w:type="paragraph" w:styleId="a6">
    <w:name w:val="header"/>
    <w:basedOn w:val="a"/>
    <w:link w:val="a7"/>
    <w:rsid w:val="00611ADF"/>
    <w:pPr>
      <w:tabs>
        <w:tab w:val="center" w:pos="4153"/>
        <w:tab w:val="right" w:pos="8306"/>
      </w:tabs>
      <w:snapToGrid w:val="0"/>
      <w:jc w:val="center"/>
    </w:pPr>
    <w:rPr>
      <w:sz w:val="18"/>
      <w:szCs w:val="18"/>
    </w:rPr>
  </w:style>
  <w:style w:type="character" w:customStyle="1" w:styleId="a7">
    <w:name w:val="页眉 字符"/>
    <w:basedOn w:val="a0"/>
    <w:link w:val="a6"/>
    <w:rsid w:val="00611ADF"/>
    <w:rPr>
      <w:rFonts w:asciiTheme="minorHAnsi" w:eastAsiaTheme="minorEastAsia" w:hAnsiTheme="minorHAnsi" w:cstheme="minorBidi"/>
      <w:kern w:val="2"/>
      <w:sz w:val="18"/>
      <w:szCs w:val="18"/>
    </w:rPr>
  </w:style>
  <w:style w:type="paragraph" w:styleId="a8">
    <w:name w:val="footer"/>
    <w:basedOn w:val="a"/>
    <w:link w:val="a9"/>
    <w:rsid w:val="00611ADF"/>
    <w:pPr>
      <w:tabs>
        <w:tab w:val="center" w:pos="4153"/>
        <w:tab w:val="right" w:pos="8306"/>
      </w:tabs>
      <w:snapToGrid w:val="0"/>
      <w:jc w:val="left"/>
    </w:pPr>
    <w:rPr>
      <w:sz w:val="18"/>
      <w:szCs w:val="18"/>
    </w:rPr>
  </w:style>
  <w:style w:type="character" w:customStyle="1" w:styleId="a9">
    <w:name w:val="页脚 字符"/>
    <w:basedOn w:val="a0"/>
    <w:link w:val="a8"/>
    <w:rsid w:val="00611AD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3672">
      <w:bodyDiv w:val="1"/>
      <w:marLeft w:val="0"/>
      <w:marRight w:val="0"/>
      <w:marTop w:val="0"/>
      <w:marBottom w:val="0"/>
      <w:divBdr>
        <w:top w:val="none" w:sz="0" w:space="0" w:color="auto"/>
        <w:left w:val="none" w:sz="0" w:space="0" w:color="auto"/>
        <w:bottom w:val="none" w:sz="0" w:space="0" w:color="auto"/>
        <w:right w:val="none" w:sz="0" w:space="0" w:color="auto"/>
      </w:divBdr>
    </w:div>
    <w:div w:id="857620473">
      <w:bodyDiv w:val="1"/>
      <w:marLeft w:val="0"/>
      <w:marRight w:val="0"/>
      <w:marTop w:val="0"/>
      <w:marBottom w:val="0"/>
      <w:divBdr>
        <w:top w:val="none" w:sz="0" w:space="0" w:color="auto"/>
        <w:left w:val="none" w:sz="0" w:space="0" w:color="auto"/>
        <w:bottom w:val="none" w:sz="0" w:space="0" w:color="auto"/>
        <w:right w:val="none" w:sz="0" w:space="0" w:color="auto"/>
      </w:divBdr>
    </w:div>
    <w:div w:id="1334995508">
      <w:bodyDiv w:val="1"/>
      <w:marLeft w:val="0"/>
      <w:marRight w:val="0"/>
      <w:marTop w:val="0"/>
      <w:marBottom w:val="0"/>
      <w:divBdr>
        <w:top w:val="none" w:sz="0" w:space="0" w:color="auto"/>
        <w:left w:val="none" w:sz="0" w:space="0" w:color="auto"/>
        <w:bottom w:val="none" w:sz="0" w:space="0" w:color="auto"/>
        <w:right w:val="none" w:sz="0" w:space="0" w:color="auto"/>
      </w:divBdr>
    </w:div>
    <w:div w:id="186216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win10-1</dc:creator>
  <cp:lastModifiedBy>16479</cp:lastModifiedBy>
  <cp:revision>13</cp:revision>
  <dcterms:created xsi:type="dcterms:W3CDTF">2023-08-30T07:05:00Z</dcterms:created>
  <dcterms:modified xsi:type="dcterms:W3CDTF">2024-02-19T09:46:00Z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21668D8955B0435AAB2755F467A595EE_12</vt:lpwstr>
  </property>
</Properties>
</file>