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FF0000"/>
          <w:sz w:val="52"/>
          <w:szCs w:val="52"/>
        </w:rPr>
      </w:pPr>
      <w:r>
        <w:rPr>
          <w:rFonts w:hint="eastAsia" w:ascii="黑体" w:hAnsi="黑体" w:eastAsia="黑体"/>
          <w:b/>
          <w:color w:val="FF0000"/>
          <w:sz w:val="52"/>
          <w:szCs w:val="52"/>
        </w:rPr>
        <w:t>20</w:t>
      </w:r>
      <w:r>
        <w:rPr>
          <w:rFonts w:ascii="黑体" w:hAnsi="黑体" w:eastAsia="黑体"/>
          <w:b/>
          <w:color w:val="FF0000"/>
          <w:sz w:val="52"/>
          <w:szCs w:val="52"/>
        </w:rPr>
        <w:t>2</w:t>
      </w:r>
      <w:r>
        <w:rPr>
          <w:rFonts w:hint="eastAsia" w:ascii="黑体" w:hAnsi="黑体" w:eastAsia="黑体"/>
          <w:b/>
          <w:color w:val="FF0000"/>
          <w:sz w:val="52"/>
          <w:szCs w:val="52"/>
          <w:lang w:val="en-US" w:eastAsia="zh-CN"/>
        </w:rPr>
        <w:t>4</w:t>
      </w:r>
      <w:r>
        <w:rPr>
          <w:rFonts w:hint="eastAsia" w:ascii="黑体" w:hAnsi="黑体" w:eastAsia="黑体"/>
          <w:b/>
          <w:color w:val="FF0000"/>
          <w:sz w:val="52"/>
          <w:szCs w:val="52"/>
        </w:rPr>
        <w:t>第</w:t>
      </w:r>
      <w:r>
        <w:rPr>
          <w:rFonts w:hint="eastAsia" w:ascii="黑体" w:hAnsi="黑体" w:eastAsia="黑体"/>
          <w:b/>
          <w:color w:val="FF0000"/>
          <w:sz w:val="52"/>
          <w:szCs w:val="52"/>
          <w:lang w:val="en-US" w:eastAsia="zh-CN"/>
        </w:rPr>
        <w:t>21</w:t>
      </w:r>
      <w:r>
        <w:rPr>
          <w:rFonts w:hint="eastAsia" w:ascii="黑体" w:hAnsi="黑体" w:eastAsia="黑体"/>
          <w:b/>
          <w:color w:val="FF0000"/>
          <w:sz w:val="52"/>
          <w:szCs w:val="52"/>
        </w:rPr>
        <w:t>届西南农资博览会</w:t>
      </w:r>
    </w:p>
    <w:p>
      <w:pPr>
        <w:jc w:val="center"/>
        <w:rPr>
          <w:rFonts w:ascii="黑体" w:hAnsi="黑体" w:eastAsia="黑体"/>
          <w:b/>
          <w:color w:val="FF0000"/>
          <w:szCs w:val="21"/>
        </w:rPr>
      </w:pPr>
      <w:r>
        <w:rPr>
          <w:rFonts w:hint="eastAsia" w:ascii="黑体" w:hAnsi="黑体" w:eastAsia="黑体"/>
          <w:b/>
          <w:color w:val="FF0000"/>
          <w:szCs w:val="21"/>
        </w:rPr>
        <w:t xml:space="preserve"> </w:t>
      </w:r>
    </w:p>
    <w:p>
      <w:pPr>
        <w:jc w:val="center"/>
        <w:rPr>
          <w:b/>
          <w:color w:val="FF0000"/>
          <w:sz w:val="24"/>
        </w:rPr>
      </w:pPr>
      <w:r>
        <w:rPr>
          <w:rFonts w:hint="eastAsia"/>
          <w:b/>
          <w:color w:val="FF0000"/>
          <w:sz w:val="24"/>
        </w:rPr>
        <w:t>时间：20</w:t>
      </w:r>
      <w:r>
        <w:rPr>
          <w:b/>
          <w:color w:val="FF0000"/>
          <w:sz w:val="24"/>
        </w:rPr>
        <w:t>2</w:t>
      </w:r>
      <w:r>
        <w:rPr>
          <w:rFonts w:hint="eastAsia"/>
          <w:b/>
          <w:color w:val="FF0000"/>
          <w:sz w:val="24"/>
          <w:lang w:val="en-US" w:eastAsia="zh-CN"/>
        </w:rPr>
        <w:t>4</w:t>
      </w:r>
      <w:r>
        <w:rPr>
          <w:rFonts w:hint="eastAsia"/>
          <w:b/>
          <w:color w:val="FF0000"/>
          <w:sz w:val="24"/>
        </w:rPr>
        <w:t>年</w:t>
      </w:r>
      <w:r>
        <w:rPr>
          <w:b/>
          <w:color w:val="FF0000"/>
          <w:sz w:val="24"/>
        </w:rPr>
        <w:t>8</w:t>
      </w:r>
      <w:r>
        <w:rPr>
          <w:rFonts w:hint="eastAsia"/>
          <w:b/>
          <w:color w:val="FF0000"/>
          <w:sz w:val="24"/>
        </w:rPr>
        <w:t>月2</w:t>
      </w:r>
      <w:r>
        <w:rPr>
          <w:rFonts w:hint="eastAsia"/>
          <w:b/>
          <w:color w:val="FF0000"/>
          <w:sz w:val="24"/>
          <w:lang w:val="en-US" w:eastAsia="zh-CN"/>
        </w:rPr>
        <w:t>0</w:t>
      </w:r>
      <w:r>
        <w:rPr>
          <w:rFonts w:hint="eastAsia"/>
          <w:b/>
          <w:color w:val="FF0000"/>
          <w:sz w:val="24"/>
        </w:rPr>
        <w:t>-</w:t>
      </w:r>
      <w:r>
        <w:rPr>
          <w:rFonts w:hint="eastAsia"/>
          <w:b/>
          <w:color w:val="FF0000"/>
          <w:sz w:val="24"/>
          <w:lang w:val="en-US" w:eastAsia="zh-CN"/>
        </w:rPr>
        <w:t>21</w:t>
      </w:r>
      <w:r>
        <w:rPr>
          <w:rFonts w:hint="eastAsia"/>
          <w:b/>
          <w:color w:val="FF0000"/>
          <w:sz w:val="24"/>
        </w:rPr>
        <w:t>日        地点：昆明</w:t>
      </w:r>
      <w:r>
        <w:rPr>
          <w:rFonts w:hint="eastAsia"/>
          <w:b/>
          <w:color w:val="FF0000"/>
          <w:sz w:val="24"/>
          <w:lang w:val="en-US" w:eastAsia="zh-CN"/>
        </w:rPr>
        <w:t>滇池</w:t>
      </w:r>
      <w:r>
        <w:rPr>
          <w:rFonts w:hint="eastAsia"/>
          <w:b/>
          <w:color w:val="FF0000"/>
          <w:sz w:val="24"/>
        </w:rPr>
        <w:t>国际会展中心</w:t>
      </w:r>
    </w:p>
    <w:p>
      <w:pPr>
        <w:rPr>
          <w:rFonts w:hint="eastAsia" w:ascii="Times New Roman" w:hAnsi="Times New Roman" w:eastAsia="宋体" w:cs="Times New Roman"/>
          <w:b/>
          <w:sz w:val="30"/>
          <w:szCs w:val="30"/>
          <w:lang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477000" cy="9525"/>
                <wp:effectExtent l="0" t="28575" r="0" b="3810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flipV="1">
                          <a:off x="0" y="0"/>
                          <a:ext cx="6477000" cy="9525"/>
                        </a:xfrm>
                        <a:prstGeom prst="straightConnector1">
                          <a:avLst/>
                        </a:prstGeom>
                        <a:noFill/>
                        <a:ln w="57150">
                          <a:solidFill>
                            <a:srgbClr val="000000"/>
                          </a:solidFill>
                          <a:round/>
                        </a:ln>
                      </wps:spPr>
                      <wps:bodyPr/>
                    </wps:wsp>
                  </a:graphicData>
                </a:graphic>
              </wp:anchor>
            </w:drawing>
          </mc:Choice>
          <mc:Fallback>
            <w:pict>
              <v:shape id="AutoShape 3" o:spid="_x0000_s1026" o:spt="32" type="#_x0000_t32" style="position:absolute;left:0pt;flip:y;margin-left:0pt;margin-top:7.8pt;height:0.75pt;width:510pt;z-index:251659264;mso-width-relative:page;mso-height-relative:page;" filled="f" stroked="t" coordsize="21600,21600" o:gfxdata="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7kbmvVAAAABwEAAA8AAAAA&#10;AAAAAQAgAAAAIgAAAGRycy9kb3ducmV2LnhtbFBLAQIUABQAAAAIAIdO4kAx7FeN3gEAAMADAAAO&#10;AAAAAAAAAAEAIAAAACQBAABkcnMvZTJvRG9jLnhtbFBLBQYAAAAABgAGAFkBAAB0BQAAAAA=&#10;">
                <v:fill on="f" focussize="0,0"/>
                <v:stroke weight="4.5pt" color="#000000" joinstyle="round"/>
                <v:imagedata o:title=""/>
                <o:lock v:ext="edit" aspectratio="f"/>
              </v:shape>
            </w:pict>
          </mc:Fallback>
        </mc:AlternateContent>
      </w:r>
    </w:p>
    <w:p>
      <w:pPr>
        <w:spacing w:line="400" w:lineRule="exact"/>
        <w:ind w:firstLine="904" w:firstLineChars="300"/>
        <w:jc w:val="center"/>
        <w:rPr>
          <w:rFonts w:hint="default" w:ascii="Times New Roman" w:hAnsi="Times New Roman" w:eastAsia="宋体" w:cs="Times New Roman"/>
          <w:b/>
          <w:sz w:val="30"/>
          <w:szCs w:val="30"/>
          <w:lang w:val="en-US" w:eastAsia="zh-CN"/>
        </w:rPr>
      </w:pPr>
      <w:r>
        <w:rPr>
          <w:rFonts w:hint="eastAsia" w:ascii="Times New Roman" w:hAnsi="Times New Roman" w:eastAsia="宋体" w:cs="Times New Roman"/>
          <w:b/>
          <w:sz w:val="30"/>
          <w:szCs w:val="30"/>
          <w:lang w:val="en-US" w:eastAsia="zh-CN"/>
        </w:rPr>
        <w:t>汇聚全球优质精品、聚焦西南和东南亚市场</w:t>
      </w:r>
    </w:p>
    <w:p>
      <w:pPr>
        <w:spacing w:line="400" w:lineRule="exact"/>
        <w:rPr>
          <w:rFonts w:hint="default" w:ascii="Times New Roman" w:hAnsi="Times New Roman" w:eastAsia="宋体" w:cs="Times New Roman"/>
          <w:b/>
          <w:sz w:val="30"/>
          <w:szCs w:val="30"/>
          <w:lang w:val="en-US" w:eastAsia="zh-CN"/>
        </w:rPr>
      </w:pPr>
    </w:p>
    <w:p>
      <w:pPr>
        <w:spacing w:line="400" w:lineRule="exact"/>
        <w:rPr>
          <w:rFonts w:hint="eastAsia" w:ascii="微软雅黑" w:hAnsi="微软雅黑" w:eastAsia="微软雅黑" w:cs="微软雅黑"/>
          <w:i w:val="0"/>
          <w:iCs w:val="0"/>
          <w:caps w:val="0"/>
          <w:color w:val="666666"/>
          <w:spacing w:val="0"/>
          <w:sz w:val="21"/>
          <w:szCs w:val="21"/>
          <w:vertAlign w:val="baseline"/>
        </w:rPr>
      </w:pPr>
      <w:r>
        <w:rPr>
          <w:rFonts w:hint="eastAsia" w:ascii="Times New Roman" w:hAnsi="Times New Roman" w:eastAsia="宋体" w:cs="Times New Roman"/>
          <w:b/>
          <w:szCs w:val="21"/>
          <w:lang w:eastAsia="zh-CN"/>
        </w:rPr>
        <w:t>展会介绍</w:t>
      </w:r>
    </w:p>
    <w:p>
      <w:pPr>
        <w:ind w:firstLine="420" w:firstLineChars="200"/>
        <w:rPr>
          <w:rFonts w:hint="eastAsia" w:ascii="Times New Roman" w:hAnsi="Times New Roman" w:eastAsia="宋体" w:cs="Times New Roman"/>
          <w:szCs w:val="21"/>
          <w:lang w:val="en-US" w:eastAsia="zh-CN"/>
        </w:rPr>
      </w:pPr>
      <w:r>
        <w:rPr>
          <w:rFonts w:hint="eastAsia"/>
        </w:rPr>
        <w:t>西南农资博览会（简称：SAF）</w:t>
      </w:r>
      <w:r>
        <w:rPr>
          <w:rFonts w:hint="eastAsia" w:ascii="Times New Roman" w:hAnsi="Times New Roman" w:eastAsia="宋体" w:cs="Times New Roman"/>
          <w:szCs w:val="21"/>
          <w:lang w:val="en-US" w:eastAsia="zh-CN"/>
        </w:rPr>
        <w:t>，自始扎根西南市场（云南、贵州、四川、重庆），</w:t>
      </w:r>
      <w:r>
        <w:rPr>
          <w:rFonts w:hint="eastAsia" w:ascii="Times New Roman" w:hAnsi="Times New Roman" w:eastAsia="宋体" w:cs="Times New Roman"/>
          <w:szCs w:val="21"/>
          <w:lang w:eastAsia="zh-CN"/>
        </w:rPr>
        <w:t>辐射周边省份及全国地区，</w:t>
      </w:r>
      <w:r>
        <w:rPr>
          <w:rFonts w:hint="eastAsia" w:ascii="Times New Roman" w:hAnsi="Times New Roman" w:eastAsia="宋体" w:cs="Times New Roman"/>
          <w:szCs w:val="21"/>
          <w:lang w:val="en-US" w:eastAsia="zh-CN"/>
        </w:rPr>
        <w:t>同时也是中国唯一面向南亚、东南亚国际市场的行业盛会。众多行业龙头企业将“SAF”作为发布新产品、推广新技术和服务的战略合作平台。同时也是西南和东南亚采购商首选商贸交流平台。</w:t>
      </w:r>
    </w:p>
    <w:p>
      <w:pPr>
        <w:ind w:firstLine="420" w:firstLineChars="200"/>
        <w:rPr>
          <w:rFonts w:hint="default"/>
          <w:lang w:val="en-US"/>
        </w:rPr>
      </w:pPr>
      <w:r>
        <w:rPr>
          <w:rFonts w:hint="eastAsia"/>
          <w:lang w:eastAsia="zh-CN"/>
        </w:rPr>
        <w:t>为深化交流合作，促进农业健康发展，探索全球领先的农业可持续发展</w:t>
      </w:r>
      <w:r>
        <w:rPr>
          <w:rFonts w:hint="eastAsia"/>
          <w:lang w:val="en-US" w:eastAsia="zh-CN"/>
        </w:rPr>
        <w:t>模式</w:t>
      </w:r>
      <w:r>
        <w:rPr>
          <w:rFonts w:hint="eastAsia"/>
          <w:lang w:eastAsia="zh-CN"/>
        </w:rPr>
        <w:t>。</w:t>
      </w:r>
      <w:r>
        <w:rPr>
          <w:rFonts w:hint="eastAsia"/>
          <w:lang w:val="en-US" w:eastAsia="zh-CN"/>
        </w:rPr>
        <w:t>2024第21届西南农资博览会</w:t>
      </w:r>
      <w:r>
        <w:rPr>
          <w:rFonts w:hint="eastAsia"/>
          <w:lang w:eastAsia="zh-CN"/>
        </w:rPr>
        <w:t>将于</w:t>
      </w:r>
      <w:r>
        <w:rPr>
          <w:rFonts w:hint="eastAsia"/>
          <w:lang w:val="en-US" w:eastAsia="zh-CN"/>
        </w:rPr>
        <w:t>8</w:t>
      </w:r>
      <w:r>
        <w:rPr>
          <w:rFonts w:hint="eastAsia"/>
          <w:lang w:eastAsia="zh-CN"/>
        </w:rPr>
        <w:t>月</w:t>
      </w:r>
      <w:r>
        <w:rPr>
          <w:rFonts w:hint="eastAsia"/>
          <w:lang w:val="en-US" w:eastAsia="zh-CN"/>
        </w:rPr>
        <w:t>20</w:t>
      </w:r>
      <w:r>
        <w:rPr>
          <w:rFonts w:hint="eastAsia"/>
          <w:lang w:eastAsia="zh-CN"/>
        </w:rPr>
        <w:t>—</w:t>
      </w:r>
      <w:r>
        <w:rPr>
          <w:rFonts w:hint="eastAsia"/>
          <w:lang w:val="en-US" w:eastAsia="zh-CN"/>
        </w:rPr>
        <w:t>21</w:t>
      </w:r>
      <w:r>
        <w:rPr>
          <w:rFonts w:hint="eastAsia"/>
          <w:lang w:eastAsia="zh-CN"/>
        </w:rPr>
        <w:t>日在云南昆明滇池国际会展中心举办</w:t>
      </w:r>
      <w:r>
        <w:rPr>
          <w:rFonts w:hint="eastAsia"/>
          <w:lang w:val="en-US" w:eastAsia="zh-CN"/>
        </w:rPr>
        <w:t>。届时将有全球近1200家企业参展，</w:t>
      </w:r>
      <w:r>
        <w:rPr>
          <w:rFonts w:hint="eastAsia"/>
          <w:lang w:eastAsia="zh-CN"/>
        </w:rPr>
        <w:t>展</w:t>
      </w:r>
      <w:r>
        <w:rPr>
          <w:rFonts w:hint="eastAsia"/>
          <w:lang w:val="en-US" w:eastAsia="zh-CN"/>
        </w:rPr>
        <w:t>出</w:t>
      </w:r>
      <w:r>
        <w:rPr>
          <w:rFonts w:hint="eastAsia"/>
          <w:lang w:eastAsia="zh-CN"/>
        </w:rPr>
        <w:t>面积</w:t>
      </w:r>
      <w:r>
        <w:rPr>
          <w:rFonts w:hint="eastAsia"/>
          <w:lang w:val="en-US" w:eastAsia="zh-CN"/>
        </w:rPr>
        <w:t>近80000平方米，</w:t>
      </w:r>
      <w:r>
        <w:rPr>
          <w:rFonts w:hint="eastAsia"/>
          <w:lang w:eastAsia="zh-CN"/>
        </w:rPr>
        <w:t>预计专业观众</w:t>
      </w:r>
      <w:r>
        <w:rPr>
          <w:rFonts w:hint="eastAsia"/>
          <w:lang w:val="en-US" w:eastAsia="zh-CN"/>
        </w:rPr>
        <w:t>达8</w:t>
      </w:r>
      <w:r>
        <w:rPr>
          <w:rFonts w:hint="eastAsia"/>
          <w:lang w:eastAsia="zh-CN"/>
        </w:rPr>
        <w:t>0000</w:t>
      </w:r>
      <w:r>
        <w:rPr>
          <w:rFonts w:hint="eastAsia"/>
          <w:lang w:val="en-US" w:eastAsia="zh-CN"/>
        </w:rPr>
        <w:t>人次</w:t>
      </w:r>
      <w:r>
        <w:rPr>
          <w:rFonts w:hint="eastAsia"/>
        </w:rPr>
        <w:t>。</w:t>
      </w:r>
      <w:r>
        <w:rPr>
          <w:rFonts w:hint="eastAsia"/>
          <w:lang w:val="en-US" w:eastAsia="zh-CN"/>
        </w:rPr>
        <w:t>博览会在历届成功举办的基础上，将再接再厉，进一步提高展会规模和质量，打造立足西南，辐射全国，连接东南亚国际市场的农资盛会。为农资行业搭建精准、高效的商贸交流平台。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微软雅黑" w:hAnsi="微软雅黑" w:eastAsia="微软雅黑" w:cs="微软雅黑"/>
          <w:b/>
          <w:bCs/>
          <w:i w:val="0"/>
          <w:iCs w:val="0"/>
          <w:caps w:val="0"/>
          <w:color w:val="666666"/>
          <w:spacing w:val="0"/>
          <w:sz w:val="21"/>
          <w:szCs w:val="21"/>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default" w:ascii="微软雅黑" w:hAnsi="微软雅黑" w:eastAsia="微软雅黑" w:cs="微软雅黑"/>
          <w:i w:val="0"/>
          <w:iCs w:val="0"/>
          <w:caps w:val="0"/>
          <w:color w:val="666666"/>
          <w:spacing w:val="0"/>
          <w:sz w:val="21"/>
          <w:szCs w:val="21"/>
          <w:vertAlign w:val="baseline"/>
          <w:lang w:val="en-US" w:eastAsia="zh-CN"/>
        </w:rPr>
      </w:pPr>
      <w:r>
        <w:rPr>
          <w:rFonts w:hint="eastAsia" w:ascii="微软雅黑" w:hAnsi="微软雅黑" w:eastAsia="微软雅黑" w:cs="微软雅黑"/>
          <w:b/>
          <w:bCs/>
          <w:i w:val="0"/>
          <w:iCs w:val="0"/>
          <w:caps w:val="0"/>
          <w:color w:val="666666"/>
          <w:spacing w:val="0"/>
          <w:sz w:val="21"/>
          <w:szCs w:val="21"/>
          <w:vertAlign w:val="baseline"/>
          <w:lang w:val="en-US" w:eastAsia="zh-CN"/>
        </w:rPr>
        <w:t>2024年强势展望：                      同期举办活动：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default" w:ascii="微软雅黑" w:hAnsi="微软雅黑" w:eastAsia="微软雅黑" w:cs="微软雅黑"/>
          <w:i w:val="0"/>
          <w:iCs w:val="0"/>
          <w:caps w:val="0"/>
          <w:color w:val="666666"/>
          <w:spacing w:val="0"/>
          <w:sz w:val="21"/>
          <w:szCs w:val="21"/>
          <w:vertAlign w:val="baseline"/>
          <w:lang w:val="en-US" w:eastAsia="zh-CN"/>
        </w:rPr>
      </w:pPr>
      <w:r>
        <w:rPr>
          <w:rFonts w:hint="eastAsia" w:ascii="微软雅黑" w:hAnsi="微软雅黑" w:eastAsia="微软雅黑" w:cs="微软雅黑"/>
          <w:i w:val="0"/>
          <w:iCs w:val="0"/>
          <w:caps w:val="0"/>
          <w:color w:val="666666"/>
          <w:spacing w:val="0"/>
          <w:sz w:val="21"/>
          <w:szCs w:val="21"/>
          <w:vertAlign w:val="baseline"/>
          <w:lang w:val="en-US" w:eastAsia="zh-CN"/>
        </w:rPr>
        <w:t>参展企业：1200家                        2024滇池农业高质量发展论坛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default" w:ascii="微软雅黑" w:hAnsi="微软雅黑" w:eastAsia="微软雅黑" w:cs="微软雅黑"/>
          <w:i w:val="0"/>
          <w:iCs w:val="0"/>
          <w:caps w:val="0"/>
          <w:color w:val="666666"/>
          <w:spacing w:val="0"/>
          <w:sz w:val="21"/>
          <w:szCs w:val="21"/>
          <w:vertAlign w:val="baseline"/>
          <w:lang w:val="en-US" w:eastAsia="zh-CN"/>
        </w:rPr>
      </w:pPr>
      <w:r>
        <w:rPr>
          <w:rFonts w:hint="eastAsia" w:ascii="微软雅黑" w:hAnsi="微软雅黑" w:eastAsia="微软雅黑" w:cs="微软雅黑"/>
          <w:i w:val="0"/>
          <w:iCs w:val="0"/>
          <w:caps w:val="0"/>
          <w:color w:val="666666"/>
          <w:spacing w:val="0"/>
          <w:sz w:val="21"/>
          <w:szCs w:val="21"/>
          <w:vertAlign w:val="baseline"/>
          <w:lang w:val="en-US" w:eastAsia="zh-CN"/>
        </w:rPr>
        <w:t>展位数量：3500个                        2024中国好农药招商会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default" w:ascii="微软雅黑" w:hAnsi="微软雅黑" w:eastAsia="微软雅黑" w:cs="微软雅黑"/>
          <w:i w:val="0"/>
          <w:iCs w:val="0"/>
          <w:caps w:val="0"/>
          <w:color w:val="666666"/>
          <w:spacing w:val="0"/>
          <w:sz w:val="21"/>
          <w:szCs w:val="21"/>
          <w:vertAlign w:val="baseline"/>
          <w:lang w:val="en-US" w:eastAsia="zh-CN"/>
        </w:rPr>
      </w:pPr>
      <w:r>
        <w:rPr>
          <w:rFonts w:hint="eastAsia" w:ascii="微软雅黑" w:hAnsi="微软雅黑" w:eastAsia="微软雅黑" w:cs="微软雅黑"/>
          <w:i w:val="0"/>
          <w:iCs w:val="0"/>
          <w:caps w:val="0"/>
          <w:color w:val="666666"/>
          <w:spacing w:val="0"/>
          <w:sz w:val="21"/>
          <w:szCs w:val="21"/>
          <w:vertAlign w:val="baseline"/>
          <w:lang w:val="en-US" w:eastAsia="zh-CN"/>
        </w:rPr>
        <w:t>展会规模：80000㎡                       第15届西南种业博览会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微软雅黑" w:hAnsi="微软雅黑" w:eastAsia="微软雅黑" w:cs="微软雅黑"/>
          <w:i w:val="0"/>
          <w:iCs w:val="0"/>
          <w:caps w:val="0"/>
          <w:color w:val="666666"/>
          <w:spacing w:val="0"/>
          <w:sz w:val="21"/>
          <w:szCs w:val="21"/>
          <w:vertAlign w:val="baseline"/>
          <w:lang w:val="en-US" w:eastAsia="zh-CN"/>
        </w:rPr>
      </w:pPr>
      <w:r>
        <w:rPr>
          <w:rFonts w:hint="eastAsia" w:ascii="微软雅黑" w:hAnsi="微软雅黑" w:eastAsia="微软雅黑" w:cs="微软雅黑"/>
          <w:i w:val="0"/>
          <w:iCs w:val="0"/>
          <w:caps w:val="0"/>
          <w:color w:val="666666"/>
          <w:spacing w:val="0"/>
          <w:sz w:val="21"/>
          <w:szCs w:val="21"/>
          <w:vertAlign w:val="baseline"/>
          <w:lang w:val="en-US" w:eastAsia="zh-CN"/>
        </w:rPr>
        <w:t>专业观众：80000人次                     中国设施农业、节水灌溉展览会</w:t>
      </w:r>
    </w:p>
    <w:p>
      <w:pPr>
        <w:spacing w:line="400" w:lineRule="exact"/>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eastAsia="zh-CN"/>
        </w:rPr>
        <w:t>上届回顾：</w:t>
      </w:r>
    </w:p>
    <w:p>
      <w:pPr>
        <w:spacing w:line="400" w:lineRule="exact"/>
        <w:ind w:firstLine="315" w:firstLineChars="150"/>
        <w:rPr>
          <w:rFonts w:ascii="微软雅黑" w:hAnsi="微软雅黑"/>
        </w:rPr>
      </w:pPr>
      <w:r>
        <w:rPr>
          <w:rFonts w:hint="eastAsia" w:ascii="Times New Roman" w:hAnsi="Times New Roman" w:eastAsia="宋体" w:cs="Times New Roman"/>
          <w:szCs w:val="21"/>
          <w:lang w:val="en-US" w:eastAsia="zh-CN"/>
        </w:rPr>
        <w:t>上届展会吸引了国内外1028家企业参展，展览面积60000㎡，共有来自云南、贵州、四川、重庆、广西、湖南、新疆等地和东南亚国家56800人次</w:t>
      </w:r>
      <w:r>
        <w:rPr>
          <w:rFonts w:hint="eastAsia" w:ascii="Times New Roman" w:hAnsi="Times New Roman" w:eastAsia="宋体" w:cs="Times New Roman"/>
          <w:szCs w:val="21"/>
          <w:lang w:eastAsia="zh-CN"/>
        </w:rPr>
        <w:t>。展会以“科技赋能农业，创新引领未来”为主题，</w:t>
      </w:r>
      <w:r>
        <w:rPr>
          <w:rFonts w:hint="eastAsia" w:ascii="Times New Roman" w:hAnsi="Times New Roman" w:eastAsia="宋体" w:cs="Times New Roman"/>
          <w:szCs w:val="21"/>
          <w:lang w:val="en-US" w:eastAsia="zh-CN"/>
        </w:rPr>
        <w:t>设置农药肥料、种苗、设施农业、农业机械四个展区，同期举办2023滇池高质量农业发展论坛，邀请云南省植保站介绍云南植保概况，马来西亚农业专家分享马来西亚肥料和农药市场概况，专家学者们的分享与前瞻性的观点给与会者们提供了充足的视野和路径。美国布兰特、云天化、云南解化、云南祥丰、云大科技、云南世耕、浙江中山、龙湾化工、农巧施、汕头微补、青岛丰邦、河南喜夫农、河北荣威、安徽丰乐、合肥美兰、安徽华星等企业应邀参展。展会得到了云南省工业和信息化厅、昆明市商务局、昆明市供销合作社的大力支持。新浪网、腾讯网、金农网、</w:t>
      </w:r>
      <w:r>
        <w:rPr>
          <w:rFonts w:hint="eastAsia" w:ascii="微软雅黑" w:hAnsi="微软雅黑"/>
        </w:rPr>
        <w:t>云南日报、云南卫视、昆明电视台、云南农业网等主流媒体报道了博览会盛况。</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上届展会数据报告：</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展会现场效果得到参展商和</w:t>
      </w:r>
      <w:r>
        <w:rPr>
          <w:rFonts w:hint="eastAsia" w:ascii="Times New Roman" w:hAnsi="Times New Roman" w:eastAsia="宋体" w:cs="Times New Roman"/>
          <w:szCs w:val="21"/>
          <w:lang w:val="en-US" w:eastAsia="zh-CN"/>
        </w:rPr>
        <w:t>参观商</w:t>
      </w:r>
      <w:r>
        <w:rPr>
          <w:rFonts w:hint="default" w:ascii="Times New Roman" w:hAnsi="Times New Roman" w:eastAsia="宋体" w:cs="Times New Roman"/>
          <w:szCs w:val="21"/>
          <w:lang w:val="en-US" w:eastAsia="zh-CN"/>
        </w:rPr>
        <w:t>的一致好评。为</w:t>
      </w:r>
      <w:r>
        <w:rPr>
          <w:rFonts w:hint="eastAsia" w:ascii="Times New Roman" w:hAnsi="Times New Roman" w:eastAsia="宋体" w:cs="Times New Roman"/>
          <w:szCs w:val="21"/>
          <w:lang w:val="en-US" w:eastAsia="zh-CN"/>
        </w:rPr>
        <w:t>国内外</w:t>
      </w:r>
      <w:r>
        <w:rPr>
          <w:rFonts w:hint="default" w:ascii="Times New Roman" w:hAnsi="Times New Roman" w:eastAsia="宋体" w:cs="Times New Roman"/>
          <w:szCs w:val="21"/>
          <w:lang w:val="en-US" w:eastAsia="zh-CN"/>
        </w:rPr>
        <w:t>企业开拓</w:t>
      </w:r>
      <w:r>
        <w:rPr>
          <w:rFonts w:hint="eastAsia" w:ascii="Times New Roman" w:hAnsi="Times New Roman" w:eastAsia="宋体" w:cs="Times New Roman"/>
          <w:szCs w:val="21"/>
          <w:lang w:val="en-US" w:eastAsia="zh-CN"/>
        </w:rPr>
        <w:t>西南和东南亚</w:t>
      </w:r>
      <w:r>
        <w:rPr>
          <w:rFonts w:hint="default" w:ascii="Times New Roman" w:hAnsi="Times New Roman" w:eastAsia="宋体" w:cs="Times New Roman"/>
          <w:szCs w:val="21"/>
          <w:lang w:val="en-US" w:eastAsia="zh-CN"/>
        </w:rPr>
        <w:t>市场提供一个国际性的交流与贸易平台。组委会在展</w:t>
      </w:r>
      <w:r>
        <w:rPr>
          <w:rFonts w:hint="eastAsia" w:ascii="Times New Roman" w:hAnsi="Times New Roman" w:eastAsia="宋体" w:cs="Times New Roman"/>
          <w:szCs w:val="21"/>
          <w:lang w:val="en-US" w:eastAsia="zh-CN"/>
        </w:rPr>
        <w:t>会</w:t>
      </w:r>
      <w:r>
        <w:rPr>
          <w:rFonts w:hint="default" w:ascii="Times New Roman" w:hAnsi="Times New Roman" w:eastAsia="宋体" w:cs="Times New Roman"/>
          <w:szCs w:val="21"/>
          <w:lang w:val="en-US" w:eastAsia="zh-CN"/>
        </w:rPr>
        <w:t>后对展商信息的调查表明：</w:t>
      </w:r>
      <w:r>
        <w:rPr>
          <w:rFonts w:hint="eastAsia" w:ascii="Times New Roman" w:hAnsi="Times New Roman" w:eastAsia="宋体" w:cs="Times New Roman"/>
          <w:szCs w:val="21"/>
          <w:lang w:val="en-US" w:eastAsia="zh-CN"/>
        </w:rPr>
        <w:t>90</w:t>
      </w:r>
      <w:r>
        <w:rPr>
          <w:rFonts w:hint="default" w:ascii="Times New Roman" w:hAnsi="Times New Roman" w:eastAsia="宋体" w:cs="Times New Roman"/>
          <w:szCs w:val="21"/>
          <w:lang w:val="en-US" w:eastAsia="zh-CN"/>
        </w:rPr>
        <w:t>％的参展商对本届展览会的展出效果表示满意，8</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lang w:val="en-US" w:eastAsia="zh-CN"/>
        </w:rPr>
        <w:t>％的参展商有浓厚的兴趣表示将再次参加下届展览会，</w:t>
      </w:r>
      <w:r>
        <w:rPr>
          <w:rFonts w:hint="eastAsia" w:ascii="Times New Roman" w:hAnsi="Times New Roman" w:eastAsia="宋体" w:cs="Times New Roman"/>
          <w:szCs w:val="21"/>
          <w:lang w:val="en-US" w:eastAsia="zh-CN"/>
        </w:rPr>
        <w:t>79</w:t>
      </w:r>
      <w:r>
        <w:rPr>
          <w:rFonts w:hint="default" w:ascii="Times New Roman" w:hAnsi="Times New Roman" w:eastAsia="宋体" w:cs="Times New Roman"/>
          <w:szCs w:val="21"/>
          <w:lang w:val="en-US" w:eastAsia="zh-CN"/>
        </w:rPr>
        <w:t>％的参展商认为同比其它展会本届展会有着更大的优势。对观众信息的调查表明：</w:t>
      </w:r>
      <w:r>
        <w:rPr>
          <w:rFonts w:hint="eastAsia" w:ascii="Times New Roman" w:hAnsi="Times New Roman" w:eastAsia="宋体" w:cs="Times New Roman"/>
          <w:szCs w:val="21"/>
          <w:lang w:val="en-US" w:eastAsia="zh-CN"/>
        </w:rPr>
        <w:t>90%观众对参会体验表示满意，</w:t>
      </w:r>
      <w:r>
        <w:rPr>
          <w:rFonts w:hint="default" w:ascii="Times New Roman" w:hAnsi="Times New Roman" w:eastAsia="宋体" w:cs="Times New Roman"/>
          <w:szCs w:val="21"/>
          <w:lang w:val="en-US" w:eastAsia="zh-CN"/>
        </w:rPr>
        <w:t>80%的观众表示愿意将</w:t>
      </w:r>
      <w:r>
        <w:rPr>
          <w:rFonts w:hint="eastAsia" w:ascii="Times New Roman" w:hAnsi="Times New Roman" w:eastAsia="宋体" w:cs="Times New Roman"/>
          <w:szCs w:val="21"/>
          <w:lang w:val="en-US" w:eastAsia="zh-CN"/>
        </w:rPr>
        <w:t>本</w:t>
      </w:r>
      <w:r>
        <w:rPr>
          <w:rFonts w:hint="default" w:ascii="Times New Roman" w:hAnsi="Times New Roman" w:eastAsia="宋体" w:cs="Times New Roman"/>
          <w:szCs w:val="21"/>
          <w:lang w:val="en-US" w:eastAsia="zh-CN"/>
        </w:rPr>
        <w:t>展会推荐给</w:t>
      </w:r>
      <w:r>
        <w:rPr>
          <w:rFonts w:hint="eastAsia" w:ascii="Times New Roman" w:hAnsi="Times New Roman" w:eastAsia="宋体" w:cs="Times New Roman"/>
          <w:szCs w:val="21"/>
          <w:lang w:val="en-US" w:eastAsia="zh-CN"/>
        </w:rPr>
        <w:t>或作</w:t>
      </w:r>
      <w:r>
        <w:rPr>
          <w:rFonts w:hint="default" w:ascii="Times New Roman" w:hAnsi="Times New Roman" w:eastAsia="宋体" w:cs="Times New Roman"/>
          <w:szCs w:val="21"/>
          <w:lang w:val="en-US" w:eastAsia="zh-CN"/>
        </w:rPr>
        <w:t>伙伴或同事，</w:t>
      </w:r>
      <w:r>
        <w:rPr>
          <w:rFonts w:hint="eastAsia" w:ascii="Times New Roman" w:hAnsi="Times New Roman" w:eastAsia="宋体" w:cs="Times New Roman"/>
          <w:szCs w:val="21"/>
          <w:lang w:val="en-US" w:eastAsia="zh-CN"/>
        </w:rPr>
        <w:t>90</w:t>
      </w:r>
      <w:r>
        <w:rPr>
          <w:rFonts w:hint="default" w:ascii="Times New Roman" w:hAnsi="Times New Roman" w:eastAsia="宋体" w:cs="Times New Roman"/>
          <w:szCs w:val="21"/>
          <w:lang w:val="en-US" w:eastAsia="zh-CN"/>
        </w:rPr>
        <w:t>%的观众表示将会参观2024年展会，我们坚信下一届展会</w:t>
      </w:r>
      <w:r>
        <w:rPr>
          <w:rFonts w:hint="eastAsia" w:ascii="Times New Roman" w:hAnsi="Times New Roman" w:eastAsia="宋体" w:cs="Times New Roman"/>
          <w:szCs w:val="21"/>
          <w:lang w:val="en-US" w:eastAsia="zh-CN"/>
        </w:rPr>
        <w:t>有大家</w:t>
      </w:r>
      <w:r>
        <w:rPr>
          <w:rFonts w:hint="default" w:ascii="Times New Roman" w:hAnsi="Times New Roman" w:eastAsia="宋体" w:cs="Times New Roman"/>
          <w:szCs w:val="21"/>
          <w:lang w:val="en-US" w:eastAsia="zh-CN"/>
        </w:rPr>
        <w:t>支持和组织单位多方的共同努力，将会越办越好。</w:t>
      </w:r>
    </w:p>
    <w:p>
      <w:pPr>
        <w:spacing w:line="400" w:lineRule="exact"/>
        <w:rPr>
          <w:rFonts w:hint="eastAsia" w:ascii="Times New Roman" w:hAnsi="Times New Roman" w:eastAsia="宋体" w:cs="Times New Roman"/>
          <w:b/>
          <w:szCs w:val="21"/>
          <w:lang w:eastAsia="zh-CN"/>
        </w:rPr>
      </w:pPr>
    </w:p>
    <w:p>
      <w:pPr>
        <w:spacing w:line="400" w:lineRule="exact"/>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eastAsia="zh-CN"/>
        </w:rPr>
        <w:t>展品范围：</w:t>
      </w:r>
    </w:p>
    <w:p>
      <w:pPr>
        <w:spacing w:line="400" w:lineRule="exact"/>
        <w:rPr>
          <w:rFonts w:hint="default"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各种肥料、农药、种苗、农用塑料、生物刺激素、植物调节剂、节水灌溉设施、农业设施、园林工具等。</w:t>
      </w:r>
    </w:p>
    <w:p>
      <w:pPr>
        <w:spacing w:line="400" w:lineRule="exact"/>
        <w:rPr>
          <w:rFonts w:hint="eastAsia" w:ascii="Times New Roman" w:hAnsi="Times New Roman" w:eastAsia="宋体" w:cs="Times New Roman"/>
          <w:b/>
          <w:szCs w:val="21"/>
          <w:lang w:eastAsia="zh-CN"/>
        </w:rPr>
      </w:pPr>
    </w:p>
    <w:p>
      <w:pPr>
        <w:spacing w:line="400" w:lineRule="exact"/>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eastAsia="zh-CN"/>
        </w:rPr>
        <w:t>展会亮点：</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w:t>
      </w:r>
      <w:r>
        <w:rPr>
          <w:rFonts w:hint="eastAsia" w:ascii="Times New Roman" w:hAnsi="Times New Roman" w:eastAsia="宋体" w:cs="Times New Roman"/>
          <w:kern w:val="2"/>
          <w:sz w:val="21"/>
          <w:szCs w:val="21"/>
          <w:lang w:val="en-US" w:eastAsia="zh-CN" w:bidi="ar-SA"/>
        </w:rPr>
        <w:t>展览规模盛大：展览面积达80000平方米，是西南最大的专业农资展会，为观众提供丰富的观展体验。</w:t>
      </w:r>
    </w:p>
    <w:p>
      <w:pPr>
        <w:spacing w:line="40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——高规格、高起点：汇聚行业头部企业参展，集中展示行业领先的新产品、新技术、聚集行业优势资源。</w:t>
      </w:r>
    </w:p>
    <w:p>
      <w:pPr>
        <w:spacing w:line="400" w:lineRule="exact"/>
        <w:rPr>
          <w:rFonts w:hint="default"/>
          <w:szCs w:val="21"/>
          <w:lang w:val="en-US" w:eastAsia="zh-CN"/>
        </w:rPr>
      </w:pPr>
      <w:r>
        <w:rPr>
          <w:rFonts w:hint="eastAsia"/>
          <w:szCs w:val="21"/>
        </w:rPr>
        <w:t>——</w:t>
      </w:r>
      <w:r>
        <w:rPr>
          <w:rFonts w:hint="eastAsia" w:ascii="Times New Roman" w:hAnsi="Times New Roman" w:eastAsia="宋体" w:cs="Times New Roman"/>
          <w:kern w:val="2"/>
          <w:sz w:val="21"/>
          <w:szCs w:val="21"/>
          <w:lang w:val="en-US" w:eastAsia="zh-CN" w:bidi="ar-SA"/>
        </w:rPr>
        <w:t>展示内容全面：涵盖农业全产业链，包括种子、化肥、农药、智慧农业、设施农业、农业机械、农用机电等，为农业种植业生产提供一站式的采购平台。</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w:t>
      </w:r>
      <w:r>
        <w:rPr>
          <w:rFonts w:hint="eastAsia" w:ascii="Times New Roman" w:hAnsi="Times New Roman" w:eastAsia="宋体" w:cs="Times New Roman"/>
          <w:kern w:val="2"/>
          <w:sz w:val="21"/>
          <w:szCs w:val="21"/>
          <w:lang w:val="en-US" w:eastAsia="zh-CN" w:bidi="ar-SA"/>
        </w:rPr>
        <w:t>科技创新引领：展示农业行业的科技创新成果，特别是安全、高效、绿色、降本增效等方面的技术应用，为农业现代化发展提供新的动力。</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w:t>
      </w:r>
      <w:r>
        <w:rPr>
          <w:rFonts w:hint="eastAsia" w:ascii="Times New Roman" w:hAnsi="Times New Roman" w:eastAsia="宋体" w:cs="Times New Roman"/>
          <w:kern w:val="2"/>
          <w:sz w:val="21"/>
          <w:szCs w:val="21"/>
          <w:lang w:val="en-US" w:eastAsia="zh-CN" w:bidi="ar-SA"/>
        </w:rPr>
        <w:t>农业环保理念：强调农业环保理念，展示了环保农资产品和技术，如生物农药、有机肥料等，有助于实现农业可持续发展。</w:t>
      </w:r>
    </w:p>
    <w:p>
      <w:pPr>
        <w:numPr>
          <w:ilvl w:val="0"/>
          <w:numId w:val="0"/>
        </w:numPr>
        <w:ind w:leftChars="0"/>
        <w:rPr>
          <w:rFonts w:hint="eastAsia"/>
          <w:szCs w:val="21"/>
          <w:lang w:val="en-US" w:eastAsia="zh-CN"/>
        </w:rPr>
      </w:pPr>
      <w:r>
        <w:rPr>
          <w:rFonts w:hint="eastAsia"/>
          <w:szCs w:val="21"/>
        </w:rPr>
        <w:t>——</w:t>
      </w:r>
      <w:r>
        <w:rPr>
          <w:rFonts w:hint="eastAsia"/>
          <w:szCs w:val="21"/>
          <w:lang w:eastAsia="zh-CN"/>
        </w:rPr>
        <w:t>开拓国际市场</w:t>
      </w:r>
      <w:r>
        <w:rPr>
          <w:rFonts w:hint="eastAsia"/>
          <w:szCs w:val="21"/>
          <w:lang w:val="en-US" w:eastAsia="zh-CN"/>
        </w:rPr>
        <w:t>：</w:t>
      </w:r>
      <w:r>
        <w:rPr>
          <w:rFonts w:hint="eastAsia"/>
          <w:lang w:val="en-US" w:eastAsia="zh-CN"/>
        </w:rPr>
        <w:t>邀请驻外国驻昆使（领）馆及马来西亚、泰国、越南、缅甸、老挝等东南亚国家国际采购商组团参观，持续打造国际市场格局。</w:t>
      </w:r>
    </w:p>
    <w:p>
      <w:pPr>
        <w:numPr>
          <w:ilvl w:val="0"/>
          <w:numId w:val="0"/>
        </w:numPr>
        <w:rPr>
          <w:rFonts w:hint="eastAsia" w:ascii="Times New Roman" w:hAnsi="Times New Roman" w:eastAsia="宋体" w:cs="Times New Roman"/>
          <w:kern w:val="2"/>
          <w:sz w:val="21"/>
          <w:szCs w:val="21"/>
          <w:lang w:val="en-US" w:eastAsia="zh-CN" w:bidi="ar-SA"/>
        </w:rPr>
      </w:pPr>
      <w:r>
        <w:rPr>
          <w:rFonts w:hint="eastAsia"/>
          <w:szCs w:val="21"/>
        </w:rPr>
        <w:t>——</w:t>
      </w:r>
      <w:r>
        <w:rPr>
          <w:rFonts w:hint="eastAsia"/>
          <w:szCs w:val="21"/>
          <w:lang w:val="en-US" w:eastAsia="zh-CN"/>
        </w:rPr>
        <w:t>商（协）会大力支持，影响力深：</w:t>
      </w:r>
      <w:r>
        <w:rPr>
          <w:rFonts w:hint="eastAsia"/>
          <w:lang w:val="en-US" w:eastAsia="zh-CN"/>
        </w:rPr>
        <w:t>得到行业主管单位、商（协）重点支持，纷纷发函邀请种植全产业链相关人员组团参观，进一点优化专业观众渠道，带动和影响每个环节的人员参会。</w:t>
      </w:r>
    </w:p>
    <w:p>
      <w:pPr>
        <w:spacing w:line="400" w:lineRule="exact"/>
        <w:rPr>
          <w:rFonts w:hint="default" w:ascii="Times New Roman" w:hAnsi="Times New Roman" w:cs="Times New Roman" w:eastAsiaTheme="minorEastAsia"/>
          <w:kern w:val="2"/>
          <w:sz w:val="21"/>
          <w:szCs w:val="21"/>
          <w:lang w:val="en-US" w:eastAsia="zh-CN" w:bidi="ar-SA"/>
        </w:rPr>
      </w:pPr>
      <w:r>
        <w:rPr>
          <w:rFonts w:hint="eastAsia"/>
          <w:szCs w:val="21"/>
        </w:rPr>
        <w:t>——</w:t>
      </w:r>
      <w:r>
        <w:rPr>
          <w:rFonts w:hint="eastAsia"/>
          <w:szCs w:val="21"/>
          <w:lang w:val="en-US" w:eastAsia="zh-CN"/>
        </w:rPr>
        <w:t>全方位立体化宣传：邀请众多媒体包括</w:t>
      </w:r>
      <w:r>
        <w:rPr>
          <w:rFonts w:hint="eastAsia"/>
          <w:b w:val="0"/>
          <w:bCs w:val="0"/>
        </w:rPr>
        <w:t>云南日报、新浪新闻、腾讯新闻、网易新闻</w:t>
      </w:r>
      <w:r>
        <w:rPr>
          <w:rFonts w:hint="eastAsia"/>
          <w:szCs w:val="21"/>
          <w:lang w:val="en-US" w:eastAsia="zh-CN"/>
        </w:rPr>
        <w:t>等知名媒对展会进行深入的跟进和报道，为企业带来更多的曝光和宣传。</w:t>
      </w:r>
    </w:p>
    <w:p>
      <w:pPr>
        <w:spacing w:line="400" w:lineRule="exact"/>
        <w:rPr>
          <w:szCs w:val="21"/>
        </w:rPr>
      </w:pPr>
    </w:p>
    <w:p>
      <w:pPr>
        <w:spacing w:line="400" w:lineRule="exact"/>
        <w:rPr>
          <w:b/>
          <w:szCs w:val="21"/>
        </w:rPr>
      </w:pPr>
      <w:r>
        <w:rPr>
          <w:rFonts w:hint="eastAsia"/>
          <w:b/>
          <w:szCs w:val="21"/>
        </w:rPr>
        <w:t xml:space="preserve">【展览范围】 </w:t>
      </w:r>
    </w:p>
    <w:p>
      <w:pPr>
        <w:spacing w:line="400" w:lineRule="exact"/>
        <w:rPr>
          <w:szCs w:val="21"/>
        </w:rPr>
      </w:pPr>
      <w:r>
        <w:rPr>
          <w:rFonts w:hint="eastAsia"/>
          <w:szCs w:val="21"/>
        </w:rPr>
        <w:t>各种肥料、特种肥料、生物制品、农药、植物生长调节剂、土壤调理剂、种苗 、植保器械、智慧农业、节水灌溉、现代农业设施、园林工具、检测仪器、农药肥料生产包装设备等相关产品。</w:t>
      </w:r>
    </w:p>
    <w:p>
      <w:pPr>
        <w:spacing w:line="400" w:lineRule="exact"/>
        <w:rPr>
          <w:b/>
          <w:szCs w:val="21"/>
        </w:rPr>
      </w:pPr>
      <w:r>
        <w:rPr>
          <w:rFonts w:hint="eastAsia"/>
          <w:b/>
          <w:szCs w:val="21"/>
        </w:rPr>
        <w:t xml:space="preserve">【目标观众】 </w:t>
      </w:r>
    </w:p>
    <w:p>
      <w:pPr>
        <w:spacing w:line="400" w:lineRule="exact"/>
        <w:rPr>
          <w:szCs w:val="21"/>
        </w:rPr>
      </w:pPr>
      <w:r>
        <w:rPr>
          <w:rFonts w:hint="eastAsia"/>
          <w:szCs w:val="21"/>
        </w:rPr>
        <w:t>——西南各市、县、乡镇植保站、土肥站、农技推广、供销系统；</w:t>
      </w:r>
    </w:p>
    <w:p>
      <w:pPr>
        <w:spacing w:line="400" w:lineRule="exact"/>
        <w:rPr>
          <w:szCs w:val="21"/>
        </w:rPr>
      </w:pPr>
      <w:r>
        <w:rPr>
          <w:rFonts w:hint="eastAsia"/>
          <w:szCs w:val="21"/>
        </w:rPr>
        <w:t>——西南各市、县、乡镇代理商、经销商、零售商；</w:t>
      </w:r>
    </w:p>
    <w:p>
      <w:pPr>
        <w:spacing w:line="400" w:lineRule="exact"/>
        <w:rPr>
          <w:szCs w:val="21"/>
        </w:rPr>
      </w:pPr>
      <w:r>
        <w:rPr>
          <w:rFonts w:hint="eastAsia"/>
          <w:szCs w:val="21"/>
        </w:rPr>
        <w:t>——园艺、园林、花卉、果蔬、药材等种植单位、大户 ；</w:t>
      </w:r>
    </w:p>
    <w:p>
      <w:pPr>
        <w:spacing w:line="400" w:lineRule="exact"/>
        <w:rPr>
          <w:szCs w:val="21"/>
        </w:rPr>
      </w:pPr>
      <w:r>
        <w:rPr>
          <w:rFonts w:hint="eastAsia"/>
          <w:szCs w:val="21"/>
        </w:rPr>
        <w:t>——南亚、东南亚地区农资贸易商和外国驻昆办事机构及行业社团；</w:t>
      </w:r>
    </w:p>
    <w:p>
      <w:pPr>
        <w:spacing w:line="400" w:lineRule="exact"/>
        <w:rPr>
          <w:b/>
          <w:szCs w:val="21"/>
        </w:rPr>
      </w:pPr>
      <w:r>
        <w:rPr>
          <w:rFonts w:hint="eastAsia"/>
          <w:b/>
          <w:szCs w:val="21"/>
        </w:rPr>
        <w:t>【参展费用】</w:t>
      </w:r>
    </w:p>
    <w:p>
      <w:pPr>
        <w:spacing w:line="400" w:lineRule="exact"/>
        <w:rPr>
          <w:rFonts w:ascii="宋体" w:hAnsi="宋体"/>
          <w:szCs w:val="21"/>
        </w:rPr>
      </w:pPr>
      <w:r>
        <w:rPr>
          <w:rFonts w:hint="eastAsia" w:ascii="宋体" w:hAnsi="宋体"/>
          <w:szCs w:val="21"/>
        </w:rPr>
        <w:t>【空    地】：600元/平方米（18平方米起租）（不含任何展览设施）</w:t>
      </w:r>
    </w:p>
    <w:p>
      <w:pPr>
        <w:spacing w:line="400" w:lineRule="exact"/>
        <w:rPr>
          <w:rFonts w:ascii="宋体" w:hAnsi="宋体"/>
          <w:szCs w:val="21"/>
        </w:rPr>
      </w:pPr>
      <w:r>
        <w:rPr>
          <w:rFonts w:hint="eastAsia" w:ascii="宋体" w:hAnsi="宋体"/>
          <w:szCs w:val="21"/>
        </w:rPr>
        <w:t>【标准展位】：单开口：5</w:t>
      </w:r>
      <w:r>
        <w:rPr>
          <w:rFonts w:hint="eastAsia" w:ascii="宋体" w:hAnsi="宋体"/>
          <w:szCs w:val="21"/>
          <w:lang w:val="en-US" w:eastAsia="zh-CN"/>
        </w:rPr>
        <w:t>000</w:t>
      </w:r>
      <w:r>
        <w:rPr>
          <w:rFonts w:hint="eastAsia" w:ascii="宋体" w:hAnsi="宋体"/>
          <w:szCs w:val="21"/>
        </w:rPr>
        <w:t>元/个（3m x 3m）</w:t>
      </w:r>
    </w:p>
    <w:p>
      <w:pPr>
        <w:spacing w:line="400" w:lineRule="exact"/>
        <w:rPr>
          <w:rFonts w:ascii="宋体" w:hAnsi="宋体"/>
          <w:szCs w:val="21"/>
        </w:rPr>
      </w:pP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双开口</w:t>
      </w:r>
      <w:r>
        <w:rPr>
          <w:rFonts w:hint="eastAsia" w:ascii="宋体" w:hAnsi="宋体"/>
          <w:szCs w:val="21"/>
          <w:lang w:eastAsia="zh-CN"/>
        </w:rPr>
        <w:t>：</w:t>
      </w:r>
      <w:r>
        <w:rPr>
          <w:rFonts w:hint="eastAsia" w:ascii="宋体" w:hAnsi="宋体"/>
          <w:szCs w:val="21"/>
          <w:lang w:val="en-US" w:eastAsia="zh-CN"/>
        </w:rPr>
        <w:t>6000元/个</w:t>
      </w:r>
      <w:bookmarkStart w:id="0" w:name="_GoBack"/>
      <w:bookmarkEnd w:id="0"/>
      <w:r>
        <w:rPr>
          <w:rFonts w:hint="eastAsia" w:ascii="宋体" w:hAnsi="宋体"/>
          <w:szCs w:val="21"/>
        </w:rPr>
        <w:t>（3m x 3m）</w:t>
      </w:r>
    </w:p>
    <w:p>
      <w:pPr>
        <w:spacing w:line="400" w:lineRule="exact"/>
        <w:rPr>
          <w:rFonts w:hint="eastAsia" w:ascii="宋体" w:hAnsi="宋体"/>
          <w:szCs w:val="21"/>
        </w:rPr>
      </w:pPr>
      <w:r>
        <w:rPr>
          <w:rFonts w:hint="eastAsia" w:ascii="宋体" w:hAnsi="宋体"/>
          <w:szCs w:val="21"/>
        </w:rPr>
        <w:t>标准展位配置： 三面围板、一桌两椅、220V电源一个（需交押金）、日光灯两个、楣板一条 ；</w:t>
      </w:r>
    </w:p>
    <w:p>
      <w:pPr>
        <w:spacing w:line="400" w:lineRule="exact"/>
        <w:rPr>
          <w:rFonts w:hint="eastAsia" w:ascii="宋体" w:hAnsi="宋体"/>
          <w:szCs w:val="21"/>
          <w:lang w:val="en-US" w:eastAsia="zh-CN"/>
        </w:rPr>
      </w:pPr>
      <w:r>
        <w:rPr>
          <w:rFonts w:hint="eastAsia" w:ascii="宋体" w:hAnsi="宋体"/>
          <w:szCs w:val="21"/>
          <w:lang w:val="en-US" w:eastAsia="zh-CN"/>
        </w:rPr>
        <w:t>日程安排：</w:t>
      </w:r>
    </w:p>
    <w:p>
      <w:pPr>
        <w:spacing w:line="400" w:lineRule="exact"/>
        <w:rPr>
          <w:rFonts w:hint="eastAsia" w:ascii="宋体" w:hAnsi="宋体"/>
          <w:szCs w:val="21"/>
          <w:lang w:val="en-US" w:eastAsia="zh-CN"/>
        </w:rPr>
      </w:pPr>
      <w:r>
        <w:rPr>
          <w:rFonts w:hint="eastAsia" w:ascii="宋体" w:hAnsi="宋体"/>
          <w:szCs w:val="21"/>
          <w:lang w:val="en-US" w:eastAsia="zh-CN"/>
        </w:rPr>
        <w:t>布展时间：2024年8月18-19日（8：30—17：00）</w:t>
      </w:r>
    </w:p>
    <w:p>
      <w:pPr>
        <w:spacing w:line="400" w:lineRule="exact"/>
        <w:rPr>
          <w:rFonts w:hint="eastAsia" w:ascii="宋体" w:hAnsi="宋体"/>
          <w:szCs w:val="21"/>
          <w:lang w:val="en-US" w:eastAsia="zh-CN"/>
        </w:rPr>
      </w:pPr>
      <w:r>
        <w:rPr>
          <w:rFonts w:hint="eastAsia" w:ascii="宋体" w:hAnsi="宋体"/>
          <w:szCs w:val="21"/>
          <w:lang w:val="en-US" w:eastAsia="zh-CN"/>
        </w:rPr>
        <w:t>开展时间：2024年8月20日（8：30—17：00）</w:t>
      </w:r>
    </w:p>
    <w:p>
      <w:pPr>
        <w:spacing w:line="400" w:lineRule="exact"/>
        <w:rPr>
          <w:rFonts w:hint="eastAsia" w:ascii="宋体" w:hAnsi="宋体"/>
          <w:szCs w:val="21"/>
          <w:lang w:val="en-US" w:eastAsia="zh-CN"/>
        </w:rPr>
      </w:pPr>
      <w:r>
        <w:rPr>
          <w:rFonts w:hint="eastAsia" w:ascii="宋体" w:hAnsi="宋体"/>
          <w:szCs w:val="21"/>
          <w:lang w:val="en-US" w:eastAsia="zh-CN"/>
        </w:rPr>
        <w:t xml:space="preserve">          2024年8月21日（8：30—14：00）</w:t>
      </w:r>
    </w:p>
    <w:p>
      <w:pPr>
        <w:spacing w:line="400" w:lineRule="exact"/>
        <w:rPr>
          <w:rFonts w:hint="default" w:ascii="宋体" w:hAnsi="宋体"/>
          <w:szCs w:val="21"/>
          <w:lang w:val="en-US" w:eastAsia="zh-CN"/>
        </w:rPr>
      </w:pPr>
      <w:r>
        <w:rPr>
          <w:rFonts w:hint="eastAsia" w:ascii="宋体" w:hAnsi="宋体"/>
          <w:szCs w:val="21"/>
          <w:lang w:val="en-US" w:eastAsia="zh-CN"/>
        </w:rPr>
        <w:t>撤展时间：2024年8月21日（14：00—18：00）</w:t>
      </w:r>
    </w:p>
    <w:p>
      <w:pPr>
        <w:spacing w:line="400" w:lineRule="exact"/>
        <w:rPr>
          <w:rFonts w:hint="default" w:ascii="宋体" w:hAnsi="宋体"/>
          <w:szCs w:val="21"/>
          <w:lang w:val="en-US" w:eastAsia="zh-CN"/>
        </w:rPr>
      </w:pPr>
    </w:p>
    <w:p>
      <w:pPr>
        <w:spacing w:line="400" w:lineRule="exact"/>
        <w:rPr>
          <w:b/>
          <w:szCs w:val="21"/>
        </w:rPr>
      </w:pPr>
      <w:r>
        <w:rPr>
          <w:rFonts w:hint="eastAsia"/>
          <w:b/>
          <w:szCs w:val="21"/>
        </w:rPr>
        <w:t>【 参展注意事项 】</w:t>
      </w:r>
    </w:p>
    <w:p>
      <w:pPr>
        <w:spacing w:line="400" w:lineRule="exact"/>
        <w:rPr>
          <w:rFonts w:asciiTheme="minorEastAsia" w:hAnsiTheme="minorEastAsia" w:eastAsiaTheme="minorEastAsia"/>
          <w:szCs w:val="21"/>
        </w:rPr>
      </w:pPr>
      <w:r>
        <w:rPr>
          <w:rFonts w:hint="eastAsia" w:ascii="宋体" w:hAnsi="宋体"/>
          <w:szCs w:val="21"/>
        </w:rPr>
        <w:t>★</w:t>
      </w:r>
      <w:r>
        <w:rPr>
          <w:rFonts w:hint="eastAsia" w:asciiTheme="minorEastAsia" w:hAnsiTheme="minorEastAsia" w:eastAsiaTheme="minorEastAsia"/>
          <w:szCs w:val="21"/>
        </w:rPr>
        <w:t>所有参展企业必需提供营业执照、产品登记证；展品不得超出登记证件范围,发现违规，立即清撤;</w:t>
      </w:r>
    </w:p>
    <w:p>
      <w:pPr>
        <w:spacing w:line="400" w:lineRule="exact"/>
        <w:rPr>
          <w:rStyle w:val="7"/>
          <w:rFonts w:ascii="宋体" w:hAnsi="宋体"/>
          <w:sz w:val="21"/>
          <w:szCs w:val="21"/>
        </w:rPr>
      </w:pPr>
      <w:r>
        <w:rPr>
          <w:rFonts w:hint="eastAsia" w:ascii="宋体" w:hAnsi="宋体"/>
          <w:szCs w:val="21"/>
        </w:rPr>
        <w:t>★</w:t>
      </w:r>
      <w:r>
        <w:rPr>
          <w:rStyle w:val="7"/>
          <w:rFonts w:hint="eastAsia" w:asciiTheme="minorEastAsia" w:hAnsiTheme="minorEastAsia" w:eastAsiaTheme="minorEastAsia"/>
          <w:sz w:val="21"/>
          <w:szCs w:val="21"/>
        </w:rPr>
        <w:t>不得携带假冒伪劣产品和侵权产品参展；</w:t>
      </w:r>
      <w:r>
        <w:rPr>
          <w:rStyle w:val="7"/>
          <w:rFonts w:hint="eastAsia" w:ascii="宋体" w:hAnsi="宋体"/>
          <w:sz w:val="21"/>
          <w:szCs w:val="21"/>
        </w:rPr>
        <w:t>否则组委会有权取消其参展资格。</w:t>
      </w:r>
    </w:p>
    <w:p>
      <w:pPr>
        <w:spacing w:line="400" w:lineRule="exact"/>
        <w:rPr>
          <w:rStyle w:val="7"/>
          <w:rFonts w:ascii="宋体" w:hAnsi="宋体"/>
          <w:sz w:val="21"/>
          <w:szCs w:val="21"/>
        </w:rPr>
      </w:pPr>
      <w:r>
        <w:rPr>
          <w:rFonts w:hint="eastAsia" w:ascii="宋体" w:hAnsi="宋体"/>
          <w:szCs w:val="21"/>
        </w:rPr>
        <w:t>★</w:t>
      </w:r>
      <w:r>
        <w:rPr>
          <w:rStyle w:val="7"/>
          <w:rFonts w:hint="eastAsia" w:ascii="宋体" w:hAnsi="宋体"/>
          <w:sz w:val="21"/>
          <w:szCs w:val="21"/>
        </w:rPr>
        <w:t>参会企业详细填写《参会申请表》并加盖公章，电邮至组委会。并于五日内将费用汇入组委会账户。</w:t>
      </w:r>
    </w:p>
    <w:p>
      <w:pPr>
        <w:spacing w:line="400" w:lineRule="exact"/>
        <w:rPr>
          <w:rFonts w:ascii="宋体" w:hAnsi="宋体"/>
          <w:szCs w:val="21"/>
        </w:rPr>
      </w:pPr>
      <w:r>
        <w:rPr>
          <w:rFonts w:hint="eastAsia" w:ascii="宋体" w:hAnsi="宋体"/>
          <w:szCs w:val="21"/>
        </w:rPr>
        <w:t>★</w:t>
      </w:r>
      <w:r>
        <w:rPr>
          <w:rFonts w:hint="eastAsia" w:ascii="宋体" w:hAnsi="宋体"/>
          <w:szCs w:val="21"/>
          <w:lang w:val="en-US" w:eastAsia="zh-CN"/>
        </w:rPr>
        <w:t>为保障大会形象，</w:t>
      </w:r>
      <w:r>
        <w:rPr>
          <w:rFonts w:hint="eastAsia" w:ascii="宋体" w:hAnsi="宋体"/>
          <w:szCs w:val="21"/>
        </w:rPr>
        <w:t xml:space="preserve">组委会保留调整部分展位的最终权力； </w:t>
      </w:r>
    </w:p>
    <w:p>
      <w:pPr>
        <w:spacing w:line="400" w:lineRule="exact"/>
        <w:rPr>
          <w:rFonts w:hint="eastAsia" w:ascii="宋体" w:hAnsi="宋体"/>
          <w:b/>
          <w:sz w:val="24"/>
        </w:rPr>
      </w:pPr>
    </w:p>
    <w:p>
      <w:pPr>
        <w:spacing w:line="400" w:lineRule="exact"/>
        <w:rPr>
          <w:rFonts w:ascii="宋体" w:hAnsi="宋体"/>
          <w:b/>
          <w:sz w:val="24"/>
        </w:rPr>
      </w:pPr>
      <w:r>
        <w:rPr>
          <w:rFonts w:hint="eastAsia" w:ascii="宋体" w:hAnsi="宋体"/>
          <w:b/>
          <w:sz w:val="24"/>
        </w:rPr>
        <w:t xml:space="preserve">更多资讯，请联络组委会：     </w:t>
      </w:r>
    </w:p>
    <w:p>
      <w:pPr>
        <w:spacing w:line="400" w:lineRule="exact"/>
        <w:rPr>
          <w:rFonts w:hint="eastAsia" w:ascii="宋体" w:hAnsi="宋体"/>
          <w:b/>
          <w:sz w:val="24"/>
        </w:rPr>
      </w:pPr>
      <w:r>
        <w:rPr>
          <w:rFonts w:hint="eastAsia" w:ascii="宋体" w:hAnsi="宋体"/>
          <w:b/>
          <w:sz w:val="24"/>
        </w:rPr>
        <w:t>广州中威展览服务有限公司</w:t>
      </w:r>
    </w:p>
    <w:p>
      <w:pPr>
        <w:spacing w:line="400" w:lineRule="exact"/>
        <w:rPr>
          <w:rFonts w:ascii="宋体" w:hAnsi="宋体"/>
          <w:b/>
          <w:sz w:val="24"/>
        </w:rPr>
      </w:pPr>
      <w:r>
        <w:rPr>
          <w:rFonts w:hint="eastAsia" w:ascii="宋体" w:hAnsi="宋体"/>
          <w:b/>
          <w:sz w:val="24"/>
        </w:rPr>
        <w:t xml:space="preserve">电话：020-2826 9507  </w:t>
      </w:r>
      <w:r>
        <w:rPr>
          <w:rFonts w:ascii="宋体" w:hAnsi="宋体"/>
          <w:b/>
          <w:sz w:val="24"/>
        </w:rPr>
        <w:t xml:space="preserve">    </w:t>
      </w:r>
    </w:p>
    <w:p>
      <w:pPr>
        <w:spacing w:line="400" w:lineRule="exact"/>
        <w:rPr>
          <w:rFonts w:ascii="宋体" w:hAnsi="宋体"/>
          <w:b/>
          <w:sz w:val="24"/>
        </w:rPr>
      </w:pPr>
      <w:r>
        <w:rPr>
          <w:rFonts w:hint="eastAsia" w:ascii="宋体" w:hAnsi="宋体"/>
          <w:b/>
          <w:sz w:val="24"/>
          <w:lang w:val="en-US" w:eastAsia="zh-CN"/>
        </w:rPr>
        <w:t>联系人：张小姐 13422323738</w:t>
      </w:r>
      <w:r>
        <w:rPr>
          <w:rFonts w:ascii="宋体" w:hAnsi="宋体"/>
          <w:b/>
          <w:sz w:val="24"/>
        </w:rPr>
        <w:t xml:space="preserve">    </w:t>
      </w:r>
      <w:r>
        <w:rPr>
          <w:rFonts w:hint="eastAsia" w:ascii="宋体" w:hAnsi="宋体"/>
          <w:b/>
          <w:sz w:val="24"/>
        </w:rPr>
        <w:t xml:space="preserve">         </w:t>
      </w:r>
    </w:p>
    <w:p>
      <w:pPr>
        <w:spacing w:line="400" w:lineRule="exact"/>
        <w:rPr>
          <w:rFonts w:hint="eastAsia" w:ascii="宋体" w:hAnsi="宋体"/>
          <w:b/>
          <w:sz w:val="24"/>
          <w:lang w:eastAsia="zh-CN"/>
        </w:rPr>
      </w:pPr>
      <w:r>
        <w:rPr>
          <w:rFonts w:hint="eastAsia" w:ascii="宋体" w:hAnsi="宋体"/>
          <w:b/>
          <w:sz w:val="24"/>
        </w:rPr>
        <w:t>邮件：ynnzz66@126.com               网址：</w:t>
      </w:r>
      <w:r>
        <w:fldChar w:fldCharType="begin"/>
      </w:r>
      <w:r>
        <w:instrText xml:space="preserve"> HYPERLINK "http://www.nfnzw.com" </w:instrText>
      </w:r>
      <w:r>
        <w:fldChar w:fldCharType="separate"/>
      </w:r>
      <w:r>
        <w:rPr>
          <w:rStyle w:val="6"/>
          <w:rFonts w:hint="eastAsia" w:ascii="宋体" w:hAnsi="宋体"/>
          <w:b/>
          <w:sz w:val="24"/>
        </w:rPr>
        <w:t>www.nfnzw.com</w:t>
      </w:r>
      <w:r>
        <w:rPr>
          <w:rStyle w:val="6"/>
          <w:rFonts w:hint="eastAsia" w:ascii="宋体" w:hAnsi="宋体"/>
          <w:b/>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OGEwNmNmMTVmNjg0ZDhlNGRhNGQ1MDMzMDY3YmYifQ=="/>
  </w:docVars>
  <w:rsids>
    <w:rsidRoot w:val="60AE48E4"/>
    <w:rsid w:val="01390B34"/>
    <w:rsid w:val="015C766E"/>
    <w:rsid w:val="0387378E"/>
    <w:rsid w:val="03C90A93"/>
    <w:rsid w:val="08050536"/>
    <w:rsid w:val="096F5497"/>
    <w:rsid w:val="0A40257B"/>
    <w:rsid w:val="0B9E6DA2"/>
    <w:rsid w:val="0C983F91"/>
    <w:rsid w:val="102A5C87"/>
    <w:rsid w:val="12425985"/>
    <w:rsid w:val="1365780C"/>
    <w:rsid w:val="184A7690"/>
    <w:rsid w:val="196B2B6B"/>
    <w:rsid w:val="198079E6"/>
    <w:rsid w:val="1B3D4E79"/>
    <w:rsid w:val="1B5B4AFE"/>
    <w:rsid w:val="1C03736B"/>
    <w:rsid w:val="1C102CC8"/>
    <w:rsid w:val="1D63719E"/>
    <w:rsid w:val="1D8D19CC"/>
    <w:rsid w:val="1F247FC3"/>
    <w:rsid w:val="1FCD4EDE"/>
    <w:rsid w:val="200B3768"/>
    <w:rsid w:val="214073D6"/>
    <w:rsid w:val="23F972E9"/>
    <w:rsid w:val="24426153"/>
    <w:rsid w:val="27967B9E"/>
    <w:rsid w:val="2BB410E6"/>
    <w:rsid w:val="2C862207"/>
    <w:rsid w:val="2F9824A9"/>
    <w:rsid w:val="2FE84CE5"/>
    <w:rsid w:val="310E74B1"/>
    <w:rsid w:val="317E1AFB"/>
    <w:rsid w:val="33BC56EF"/>
    <w:rsid w:val="350777E0"/>
    <w:rsid w:val="35AA29F3"/>
    <w:rsid w:val="362F310D"/>
    <w:rsid w:val="3A352C3A"/>
    <w:rsid w:val="3ADE1C3C"/>
    <w:rsid w:val="3BE00A9D"/>
    <w:rsid w:val="3CED1669"/>
    <w:rsid w:val="3DAD640B"/>
    <w:rsid w:val="40411F26"/>
    <w:rsid w:val="40A0019C"/>
    <w:rsid w:val="439D3870"/>
    <w:rsid w:val="44387E52"/>
    <w:rsid w:val="44D8462D"/>
    <w:rsid w:val="46C66F79"/>
    <w:rsid w:val="46D76729"/>
    <w:rsid w:val="49114675"/>
    <w:rsid w:val="4BA25C27"/>
    <w:rsid w:val="4D0B0864"/>
    <w:rsid w:val="4D5D377F"/>
    <w:rsid w:val="4EA27314"/>
    <w:rsid w:val="4EB274EE"/>
    <w:rsid w:val="4F545BB9"/>
    <w:rsid w:val="51E55277"/>
    <w:rsid w:val="54A026C2"/>
    <w:rsid w:val="555D5531"/>
    <w:rsid w:val="57FD36F3"/>
    <w:rsid w:val="590632E5"/>
    <w:rsid w:val="5BB165D8"/>
    <w:rsid w:val="5C396260"/>
    <w:rsid w:val="5D12517D"/>
    <w:rsid w:val="5D73787C"/>
    <w:rsid w:val="5E374B7E"/>
    <w:rsid w:val="5F3F339C"/>
    <w:rsid w:val="5FC32724"/>
    <w:rsid w:val="606C2BEB"/>
    <w:rsid w:val="60AE48E4"/>
    <w:rsid w:val="62A66F24"/>
    <w:rsid w:val="633429A0"/>
    <w:rsid w:val="679B2D27"/>
    <w:rsid w:val="6A4141F0"/>
    <w:rsid w:val="6AEA05AC"/>
    <w:rsid w:val="6B6070C7"/>
    <w:rsid w:val="6FDA0369"/>
    <w:rsid w:val="70375D06"/>
    <w:rsid w:val="761F027D"/>
    <w:rsid w:val="76927C2B"/>
    <w:rsid w:val="776C4D29"/>
    <w:rsid w:val="780137F0"/>
    <w:rsid w:val="7C807E4B"/>
    <w:rsid w:val="7D1E1786"/>
    <w:rsid w:val="7D8D1452"/>
    <w:rsid w:val="7DE16527"/>
    <w:rsid w:val="7EED7534"/>
    <w:rsid w:val="7EFA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unhideWhenUsed/>
    <w:qFormat/>
    <w:uiPriority w:val="0"/>
    <w:rPr>
      <w:color w:val="0563C1" w:themeColor="hyperlink"/>
      <w:u w:val="single"/>
      <w14:textFill>
        <w14:solidFill>
          <w14:schemeClr w14:val="hlink"/>
        </w14:solidFill>
      </w14:textFill>
    </w:rPr>
  </w:style>
  <w:style w:type="character" w:customStyle="1" w:styleId="7">
    <w:name w:val="unnamed11"/>
    <w:basedOn w:val="4"/>
    <w:autoRedefine/>
    <w:qFormat/>
    <w:uiPriority w:val="0"/>
    <w:rPr>
      <w:rFonts w:hint="default"/>
      <w:color w:val="000000"/>
      <w:sz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1769</Words>
  <Characters>1887</Characters>
  <Lines>0</Lines>
  <Paragraphs>0</Paragraphs>
  <TotalTime>1</TotalTime>
  <ScaleCrop>false</ScaleCrop>
  <LinksUpToDate>false</LinksUpToDate>
  <CharactersWithSpaces>1993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2023-09-12T07:32:00Z</dcterms:created>
  <dc:creator>Administrator</dc:creator>
  <cp:lastModifiedBy>ICE-CREAM</cp:lastModifiedBy>
  <dcterms:modified xsi:type="dcterms:W3CDTF">2024-04-18T06:32:01Z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E0785FB5D26E48269CBC56D3F3E922C8_13</vt:lpwstr>
  </property>
</Properties>
</file>