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仿宋" w:hAnsi="仿宋" w:eastAsia="仿宋" w:cs="仿宋_GB2312"/>
          <w:b/>
          <w:bCs/>
          <w:color w:val="000000"/>
          <w:kern w:val="0"/>
          <w:sz w:val="40"/>
          <w:szCs w:val="40"/>
          <w:lang w:val="en-US" w:eastAsia="zh-CN" w:bidi="ar-SA"/>
        </w:rPr>
      </w:pPr>
      <w:bookmarkStart w:id="0" w:name="OLE_LINK21"/>
      <w:bookmarkStart w:id="1" w:name="OLE_LINK3"/>
      <w:bookmarkStart w:id="2" w:name="OLE_LINK15"/>
      <w:bookmarkStart w:id="3" w:name="OLE_LINK11"/>
      <w:r>
        <w:rPr>
          <w:rFonts w:hint="default" w:ascii="仿宋" w:hAnsi="仿宋" w:eastAsia="仿宋" w:cs="仿宋_GB2312"/>
          <w:b/>
          <w:bCs/>
          <w:color w:val="000000"/>
          <w:kern w:val="0"/>
          <w:sz w:val="40"/>
          <w:szCs w:val="40"/>
          <w:lang w:val="en-US" w:eastAsia="zh-CN" w:bidi="ar-SA"/>
        </w:rPr>
        <w:t>202</w:t>
      </w:r>
      <w:r>
        <w:rPr>
          <w:rFonts w:hint="eastAsia" w:ascii="仿宋" w:hAnsi="仿宋" w:eastAsia="仿宋" w:cs="仿宋_GB2312"/>
          <w:b/>
          <w:bCs/>
          <w:color w:val="000000"/>
          <w:kern w:val="0"/>
          <w:sz w:val="40"/>
          <w:szCs w:val="40"/>
          <w:lang w:val="en-US" w:eastAsia="zh-CN" w:bidi="ar-SA"/>
        </w:rPr>
        <w:t>4深圳国际</w:t>
      </w:r>
      <w:bookmarkStart w:id="4" w:name="OLE_LINK20"/>
      <w:bookmarkStart w:id="5" w:name="OLE_LINK28"/>
      <w:r>
        <w:rPr>
          <w:rFonts w:hint="default" w:ascii="仿宋" w:hAnsi="仿宋" w:eastAsia="仿宋" w:cs="仿宋_GB2312"/>
          <w:b/>
          <w:bCs/>
          <w:color w:val="000000"/>
          <w:kern w:val="0"/>
          <w:sz w:val="40"/>
          <w:szCs w:val="40"/>
          <w:lang w:val="en-US" w:eastAsia="zh-CN" w:bidi="ar-SA"/>
        </w:rPr>
        <w:t>结构健康监测</w:t>
      </w:r>
      <w:bookmarkEnd w:id="4"/>
      <w:r>
        <w:rPr>
          <w:rFonts w:hint="eastAsia" w:ascii="仿宋" w:hAnsi="仿宋" w:eastAsia="仿宋" w:cs="仿宋_GB2312"/>
          <w:b/>
          <w:bCs/>
          <w:color w:val="000000"/>
          <w:kern w:val="0"/>
          <w:sz w:val="40"/>
          <w:szCs w:val="40"/>
          <w:lang w:val="en-US" w:eastAsia="zh-CN" w:bidi="ar-SA"/>
        </w:rPr>
        <w:t>技术与</w:t>
      </w:r>
      <w:r>
        <w:rPr>
          <w:rFonts w:hint="default" w:ascii="仿宋" w:hAnsi="仿宋" w:eastAsia="仿宋" w:cs="仿宋_GB2312"/>
          <w:b/>
          <w:bCs/>
          <w:color w:val="000000"/>
          <w:kern w:val="0"/>
          <w:sz w:val="40"/>
          <w:szCs w:val="40"/>
          <w:lang w:val="en-US" w:eastAsia="zh-CN" w:bidi="ar-SA"/>
        </w:rPr>
        <w:t>应用</w:t>
      </w:r>
      <w:bookmarkEnd w:id="0"/>
      <w:bookmarkEnd w:id="5"/>
      <w:r>
        <w:rPr>
          <w:rFonts w:hint="eastAsia" w:ascii="仿宋" w:hAnsi="仿宋" w:eastAsia="仿宋" w:cs="仿宋_GB2312"/>
          <w:b/>
          <w:bCs/>
          <w:color w:val="000000"/>
          <w:kern w:val="0"/>
          <w:sz w:val="40"/>
          <w:szCs w:val="40"/>
          <w:lang w:val="en-US" w:eastAsia="zh-CN" w:bidi="ar-SA"/>
        </w:rPr>
        <w:t>展览会</w:t>
      </w:r>
    </w:p>
    <w:bookmarkEnd w:id="1"/>
    <w:p>
      <w:pPr>
        <w:pStyle w:val="2"/>
        <w:jc w:val="center"/>
        <w:rPr>
          <w:rFonts w:hint="default" w:ascii="仿宋" w:hAnsi="仿宋" w:eastAsia="仿宋" w:cs="仿宋_GB2312"/>
          <w:b/>
          <w:bCs/>
          <w:color w:val="000000"/>
          <w:kern w:val="0"/>
          <w:sz w:val="18"/>
          <w:szCs w:val="18"/>
          <w:lang w:val="en-US" w:eastAsia="zh-CN" w:bidi="ar-SA"/>
        </w:rPr>
      </w:pPr>
      <w:r>
        <w:rPr>
          <w:rFonts w:hint="default" w:ascii="仿宋" w:hAnsi="仿宋" w:eastAsia="仿宋" w:cs="仿宋_GB2312"/>
          <w:b/>
          <w:bCs/>
          <w:color w:val="000000"/>
          <w:kern w:val="0"/>
          <w:sz w:val="18"/>
          <w:szCs w:val="18"/>
          <w:lang w:val="en-US" w:eastAsia="zh-CN" w:bidi="ar-SA"/>
        </w:rPr>
        <w:t xml:space="preserve">Shenzhen International Structural Health Monitoring Technology and </w:t>
      </w:r>
      <w:r>
        <w:rPr>
          <w:rFonts w:hint="eastAsia" w:ascii="仿宋" w:hAnsi="仿宋" w:eastAsia="仿宋" w:cs="仿宋_GB2312"/>
          <w:b/>
          <w:bCs/>
          <w:color w:val="000000"/>
          <w:kern w:val="0"/>
          <w:sz w:val="18"/>
          <w:szCs w:val="18"/>
          <w:lang w:val="en-US" w:eastAsia="zh-CN" w:bidi="ar-SA"/>
        </w:rPr>
        <w:t>A</w:t>
      </w:r>
      <w:r>
        <w:rPr>
          <w:rFonts w:hint="default" w:ascii="仿宋" w:hAnsi="仿宋" w:eastAsia="仿宋" w:cs="仿宋_GB2312"/>
          <w:b/>
          <w:bCs/>
          <w:color w:val="000000"/>
          <w:kern w:val="0"/>
          <w:sz w:val="18"/>
          <w:szCs w:val="18"/>
          <w:lang w:val="en-US" w:eastAsia="zh-CN" w:bidi="ar-SA"/>
        </w:rPr>
        <w:t xml:space="preserve">pplication </w:t>
      </w:r>
      <w:r>
        <w:rPr>
          <w:rFonts w:hint="eastAsia" w:ascii="仿宋" w:hAnsi="仿宋" w:eastAsia="仿宋" w:cs="仿宋_GB2312"/>
          <w:b/>
          <w:bCs/>
          <w:color w:val="000000"/>
          <w:kern w:val="0"/>
          <w:sz w:val="18"/>
          <w:szCs w:val="18"/>
          <w:lang w:val="en-US" w:eastAsia="zh-CN" w:bidi="ar-SA"/>
        </w:rPr>
        <w:t xml:space="preserve">Expo </w:t>
      </w:r>
      <w:r>
        <w:rPr>
          <w:rFonts w:hint="default" w:ascii="仿宋" w:hAnsi="仿宋" w:eastAsia="仿宋" w:cs="仿宋_GB2312"/>
          <w:b/>
          <w:bCs/>
          <w:color w:val="000000"/>
          <w:kern w:val="0"/>
          <w:sz w:val="18"/>
          <w:szCs w:val="18"/>
          <w:lang w:val="en-US" w:eastAsia="zh-CN" w:bidi="ar-SA"/>
        </w:rPr>
        <w:t>2024</w:t>
      </w:r>
    </w:p>
    <w:bookmarkEnd w:id="2"/>
    <w:bookmarkEnd w:id="3"/>
    <w:p>
      <w:pPr>
        <w:pStyle w:val="2"/>
        <w:jc w:val="left"/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jc w:val="both"/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时间：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 xml:space="preserve">2024年11月20-22日  </w:t>
      </w:r>
    </w:p>
    <w:p>
      <w:pPr>
        <w:pStyle w:val="2"/>
        <w:jc w:val="both"/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地点：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深圳会展中心（福田）</w:t>
      </w:r>
    </w:p>
    <w:p>
      <w:pPr>
        <w:pStyle w:val="2"/>
        <w:jc w:val="both"/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主题：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AI赋能·创新引领</w:t>
      </w:r>
      <w:bookmarkStart w:id="9" w:name="_GoBack"/>
      <w:bookmarkEnd w:id="9"/>
    </w:p>
    <w:p>
      <w:pPr>
        <w:pStyle w:val="2"/>
        <w:jc w:val="left"/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展览面积：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 xml:space="preserve">预计20000平方米 </w:t>
      </w:r>
    </w:p>
    <w:p>
      <w:pPr>
        <w:pStyle w:val="2"/>
        <w:jc w:val="left"/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参展商：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预计400+</w:t>
      </w:r>
    </w:p>
    <w:p>
      <w:pPr>
        <w:pStyle w:val="2"/>
        <w:jc w:val="left"/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专业观众：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预计18000+</w:t>
      </w:r>
    </w:p>
    <w:p>
      <w:pPr>
        <w:pStyle w:val="2"/>
        <w:jc w:val="both"/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主办单位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：中国安全产业协会城市安全与应急分会</w:t>
      </w:r>
    </w:p>
    <w:p>
      <w:pPr>
        <w:pStyle w:val="2"/>
        <w:ind w:firstLine="1200" w:firstLineChars="500"/>
        <w:jc w:val="both"/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中国仪器仪表学会设备结构健康监测与预警分会</w:t>
      </w:r>
    </w:p>
    <w:p>
      <w:pPr>
        <w:pStyle w:val="2"/>
        <w:jc w:val="both"/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承办单位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 xml:space="preserve">：恒兴国际会展集团有限公司 </w:t>
      </w:r>
    </w:p>
    <w:p>
      <w:pPr>
        <w:pStyle w:val="2"/>
        <w:jc w:val="left"/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参展报名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：许刚 13524288938（同微信）</w:t>
      </w:r>
    </w:p>
    <w:p>
      <w:pPr>
        <w:pStyle w:val="2"/>
        <w:jc w:val="left"/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jc w:val="left"/>
        <w:rPr>
          <w:rFonts w:hint="default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一、展会介绍</w:t>
      </w:r>
    </w:p>
    <w:p>
      <w:pPr>
        <w:pStyle w:val="2"/>
        <w:ind w:firstLine="480" w:firstLineChars="200"/>
        <w:jc w:val="left"/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结构健康监测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技术</w:t>
      </w:r>
      <w:r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（SHM）是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用于监测和分析大型结构的性能和状态</w:t>
      </w:r>
      <w:r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的关键技术之一。随着物联网、大数据、人工智能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、云计算、互联网、</w:t>
      </w:r>
      <w:r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等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信息</w:t>
      </w:r>
      <w:r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技术的飞速发展，结构健康监测技术在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土木工程</w:t>
      </w:r>
      <w:r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轨道交通、</w:t>
      </w:r>
      <w:r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航空航天、机械装备等领域的应用越来越广泛。为推动结构健康监测技术的创新与发展，加强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行业</w:t>
      </w:r>
      <w:r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间的交流与合作，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由恒兴国际会展集团有限公司牵头，联合国内外多家行业协会、机构、高校及媒体，将于</w:t>
      </w: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2024年11月20-22日在深圳会展中心（福田）举办</w:t>
      </w:r>
      <w:r>
        <w:rPr>
          <w:rFonts w:hint="default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2024年深圳国际结构健康监测技术与应用展览会（SHM EXPO 2024）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。</w:t>
      </w:r>
    </w:p>
    <w:p>
      <w:pPr>
        <w:pStyle w:val="2"/>
        <w:ind w:firstLine="480" w:firstLineChars="200"/>
        <w:jc w:val="left"/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2024深圳国际结构健康监测技术与应用展览会（SHM EXPO 2024）是集产、学、研、商为一体的结构健康监测领域大型专业展览会，展览面积预计20000平方米，预计400+参展商。本届展会以</w:t>
      </w: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“</w:t>
      </w:r>
      <w:bookmarkStart w:id="6" w:name="OLE_LINK4"/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AI赋能·创新引领</w:t>
      </w:r>
      <w:bookmarkEnd w:id="6"/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”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为主题，</w:t>
      </w:r>
      <w:r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将重点展示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结构健康监测</w:t>
      </w:r>
      <w:r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技术的最新研究成果、应用案例、先进产品和解决方案，为企业提供与潜在客户、合作伙伴面对面交流的机会，为政府、行业协会、科研机构等提供政策解读、技术交流和项目对接的平台。</w:t>
      </w:r>
    </w:p>
    <w:p>
      <w:pPr>
        <w:pStyle w:val="2"/>
        <w:ind w:firstLine="480" w:firstLineChars="200"/>
        <w:jc w:val="left"/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jc w:val="left"/>
        <w:rPr>
          <w:rFonts w:hint="default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二、展会内容</w:t>
      </w:r>
    </w:p>
    <w:p>
      <w:pPr>
        <w:pStyle w:val="2"/>
        <w:ind w:firstLine="482" w:firstLineChars="200"/>
        <w:jc w:val="left"/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技术展览：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展示国内外最新的结构健康监测技术、产品和解决方案，包括但不限于传感器技术、数据采集与处理系统、预警与评估软件、无损检测技术等。</w:t>
      </w:r>
    </w:p>
    <w:p>
      <w:pPr>
        <w:pStyle w:val="2"/>
        <w:ind w:firstLine="482" w:firstLineChars="200"/>
        <w:jc w:val="left"/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学术论坛：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邀请国内外知名专家学者就结构健康监测技术的最新进展、挑战与机遇进行深入研讨，分享最新的研究成果和应用案例。</w:t>
      </w:r>
    </w:p>
    <w:p>
      <w:pPr>
        <w:pStyle w:val="2"/>
        <w:ind w:firstLine="482" w:firstLineChars="200"/>
        <w:jc w:val="left"/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企业对接：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组织企业与潜在客户、合作伙伴进行面对面交流，促进产学研用合作，推动技术转移和成果转化。</w:t>
      </w:r>
    </w:p>
    <w:p>
      <w:pPr>
        <w:pStyle w:val="2"/>
        <w:ind w:firstLine="482" w:firstLineChars="200"/>
        <w:jc w:val="left"/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产品发布：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为企业新品发布提供平台，展示最新的结构健康监测产品和技术。</w:t>
      </w:r>
    </w:p>
    <w:p>
      <w:pPr>
        <w:pStyle w:val="2"/>
        <w:ind w:firstLine="480" w:firstLineChars="200"/>
        <w:jc w:val="left"/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jc w:val="left"/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三、展会亮点与特色</w:t>
      </w:r>
    </w:p>
    <w:p>
      <w:pPr>
        <w:pStyle w:val="2"/>
        <w:ind w:firstLine="482" w:firstLineChars="200"/>
        <w:jc w:val="left"/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1、技术创新引领：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我们将重点展示最新的结构健康监测技术和产品，包括传感器技术、数据采集与处理技术、智能分析算法、无损检测技术等。这些技术和产品将为行业带来创新动力，推动结构健康监测技术的不断进步。</w:t>
      </w:r>
    </w:p>
    <w:p>
      <w:pPr>
        <w:pStyle w:val="2"/>
        <w:ind w:firstLine="482" w:firstLineChars="200"/>
        <w:jc w:val="left"/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2、国际化程度高：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此次展览会将邀请来自全球的专家学者和企业代表，共同探讨结构健康监测技术的最新动态和发展趋势。同时，我们也将积极推动国际间的技术交流与合作，促进全球结构健康监测技术的共同发展。</w:t>
      </w:r>
    </w:p>
    <w:p>
      <w:pPr>
        <w:pStyle w:val="2"/>
        <w:ind w:firstLine="482" w:firstLineChars="200"/>
        <w:jc w:val="left"/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3、应用实践丰富：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我们将通过现场演示和案例分享，展示结构健康监测技术在实际工程中的应用效果。这些应用案例将为企业提供实践经验和借鉴，促进技术的落地和应用。</w:t>
      </w:r>
    </w:p>
    <w:p>
      <w:pPr>
        <w:pStyle w:val="2"/>
        <w:ind w:firstLine="482" w:firstLineChars="200"/>
        <w:jc w:val="left"/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4、产业链整合：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我们将汇聚产业链上下游企业，为企业搭建合作平台，促进产业链的整合和优化。通过合作与交流，企业可以共同开拓市场和业务机会，实现资源共享和互利共赢。</w:t>
      </w:r>
    </w:p>
    <w:p>
      <w:pPr>
        <w:pStyle w:val="2"/>
        <w:ind w:firstLine="482" w:firstLineChars="200"/>
        <w:jc w:val="left"/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5、专业性强：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我们将邀请行业内的顶尖专家、学者和企业代表担任演讲嘉宾，确保展会的专业性和权威性。同时，我们也将为与会者提供丰富的专业培训和交流机会，提升行业的整体水平和能力。</w:t>
      </w:r>
    </w:p>
    <w:p>
      <w:pPr>
        <w:pStyle w:val="2"/>
        <w:ind w:firstLine="482" w:firstLineChars="200"/>
        <w:jc w:val="left"/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6、创新驱动：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我们将鼓励企业和研究机构积极探索新的技术路线和商业模式，推动结构健康监测技术的创新发展。同时，我们也将为创新项目提供支持和帮助，促进其快速成长和发展。</w:t>
      </w:r>
    </w:p>
    <w:p>
      <w:pPr>
        <w:pStyle w:val="2"/>
        <w:ind w:firstLine="480" w:firstLineChars="200"/>
        <w:jc w:val="left"/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jc w:val="left"/>
        <w:rPr>
          <w:rFonts w:hint="default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四、同期活动—结构健康监测科技创新论坛</w:t>
      </w:r>
    </w:p>
    <w:p>
      <w:pPr>
        <w:pStyle w:val="2"/>
        <w:ind w:firstLine="480" w:firstLineChars="200"/>
        <w:jc w:val="left"/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bookmarkStart w:id="7" w:name="OLE_LINK2"/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为加强国内结构健康监测领域的学术交流，搭建国内结构健康监测技术合作平台，促进我国结构健康监测技术的不断发展，全面推动结构健康监测技术在机械装备、航空航天、土木工程等领域的应用，</w:t>
      </w:r>
      <w:bookmarkStart w:id="8" w:name="OLE_LINK1"/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展会同期将举办2024中国（深圳）结构健康监测科技创新论坛</w:t>
      </w:r>
      <w:bookmarkEnd w:id="8"/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。</w:t>
      </w:r>
    </w:p>
    <w:p>
      <w:pPr>
        <w:pStyle w:val="2"/>
        <w:ind w:firstLine="480" w:firstLineChars="200"/>
        <w:jc w:val="left"/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拟邀请行业主管部门、科研单位、企业代表围绕主题作专题报告，分享结构健康监测科技创新前沿观点，并带来行业与产业的未来发展趋势。</w:t>
      </w:r>
    </w:p>
    <w:p>
      <w:pPr>
        <w:pStyle w:val="2"/>
        <w:ind w:firstLine="480" w:firstLineChars="200"/>
        <w:jc w:val="left"/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</w:p>
    <w:bookmarkEnd w:id="7"/>
    <w:p>
      <w:pPr>
        <w:pStyle w:val="2"/>
        <w:jc w:val="left"/>
        <w:rPr>
          <w:rFonts w:hint="default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五、结构健康监测技术涉及哪些前沿科技</w:t>
      </w:r>
    </w:p>
    <w:p>
      <w:pPr>
        <w:pStyle w:val="2"/>
        <w:ind w:firstLine="480" w:firstLineChars="200"/>
        <w:jc w:val="left"/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1、</w:t>
      </w:r>
      <w:r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传感器技术：结构健康监测依赖于各种传感器来收集结构的状态信息，包括应力、应变、温度、振动等。因此，高性能、低功耗、多功能的传感器技术是结构健康监测技术的重要组成部分。</w:t>
      </w:r>
    </w:p>
    <w:p>
      <w:pPr>
        <w:pStyle w:val="2"/>
        <w:ind w:firstLine="480" w:firstLineChars="200"/>
        <w:jc w:val="left"/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2、</w:t>
      </w:r>
      <w:r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通信技术：为了实时传输大量的监测数据，结构健康监测技术需要依赖先进的通信技术，如无线通信、光纤通信等。</w:t>
      </w:r>
    </w:p>
    <w:p>
      <w:pPr>
        <w:pStyle w:val="2"/>
        <w:ind w:firstLine="480" w:firstLineChars="200"/>
        <w:jc w:val="left"/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3、</w:t>
      </w:r>
      <w:r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数据分析和挖掘：结构健康监测技术涉及到大量的数据处理和分析，需要运用先进的数据分析和挖掘技术，如机器学习、深度学习、数据可视化等。</w:t>
      </w:r>
    </w:p>
    <w:p>
      <w:pPr>
        <w:pStyle w:val="2"/>
        <w:ind w:firstLine="480" w:firstLineChars="200"/>
        <w:jc w:val="left"/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4、</w:t>
      </w:r>
      <w:r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计算机模拟：通过计算机模拟，可以预测结构的行为和性能，为结构健康监测提供理论依据和技术支持。</w:t>
      </w:r>
    </w:p>
    <w:p>
      <w:pPr>
        <w:pStyle w:val="2"/>
        <w:ind w:firstLine="480" w:firstLineChars="200"/>
        <w:jc w:val="left"/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5、</w:t>
      </w:r>
      <w:r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人工智能：人工智能技术，如机器学习、深度学习等，可以用于结构健康监测数据的分析和解释，提高监测的精度和效率。</w:t>
      </w:r>
    </w:p>
    <w:p>
      <w:pPr>
        <w:pStyle w:val="2"/>
        <w:ind w:firstLine="480" w:firstLineChars="200"/>
        <w:jc w:val="left"/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6、</w:t>
      </w:r>
      <w:r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云计算和大数据：随着结构健康监测数据量的不断增长，云计算和大数据技术被广泛应用于数据的存储、处理和分析，提高了监测系统的运行效率和决策支持能力。</w:t>
      </w:r>
    </w:p>
    <w:p>
      <w:pPr>
        <w:pStyle w:val="2"/>
        <w:jc w:val="left"/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jc w:val="left"/>
        <w:rPr>
          <w:rFonts w:hint="default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六、展示范围</w:t>
      </w:r>
    </w:p>
    <w:p>
      <w:pPr>
        <w:pStyle w:val="2"/>
        <w:ind w:firstLine="240" w:firstLineChars="100"/>
        <w:jc w:val="left"/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（1）先进传感技术/传感器/作动器</w:t>
      </w:r>
    </w:p>
    <w:p>
      <w:pPr>
        <w:pStyle w:val="2"/>
        <w:ind w:firstLine="240" w:firstLineChars="100"/>
        <w:jc w:val="left"/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（2）传感器网络/系统集成</w:t>
      </w:r>
    </w:p>
    <w:p>
      <w:pPr>
        <w:pStyle w:val="2"/>
        <w:ind w:firstLine="240" w:firstLineChars="100"/>
        <w:jc w:val="left"/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（3）建模/模拟/结构健康监测设计</w:t>
      </w:r>
    </w:p>
    <w:p>
      <w:pPr>
        <w:pStyle w:val="2"/>
        <w:ind w:firstLine="240" w:firstLineChars="100"/>
        <w:jc w:val="left"/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（4）监测/信号处理/大数据分析</w:t>
      </w:r>
    </w:p>
    <w:p>
      <w:pPr>
        <w:pStyle w:val="2"/>
        <w:ind w:firstLine="240" w:firstLineChars="100"/>
        <w:jc w:val="left"/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（5）结构健康状态诊断与性能评估</w:t>
      </w:r>
    </w:p>
    <w:p>
      <w:pPr>
        <w:pStyle w:val="2"/>
        <w:ind w:firstLine="240" w:firstLineChars="100"/>
        <w:jc w:val="left"/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（6）结构损伤预测/故障预测</w:t>
      </w:r>
    </w:p>
    <w:p>
      <w:pPr>
        <w:pStyle w:val="2"/>
        <w:ind w:firstLine="240" w:firstLineChars="100"/>
        <w:jc w:val="left"/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（7）结构损伤识别/故障诊断</w:t>
      </w:r>
    </w:p>
    <w:p>
      <w:pPr>
        <w:pStyle w:val="2"/>
        <w:ind w:firstLine="240" w:firstLineChars="100"/>
        <w:jc w:val="left"/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（8）结构健康管理/寿命预测</w:t>
      </w:r>
    </w:p>
    <w:p>
      <w:pPr>
        <w:pStyle w:val="2"/>
        <w:ind w:firstLine="240" w:firstLineChars="100"/>
        <w:jc w:val="left"/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（9）结构智能运维</w:t>
      </w:r>
    </w:p>
    <w:p>
      <w:pPr>
        <w:pStyle w:val="2"/>
        <w:ind w:firstLine="240" w:firstLineChars="100"/>
        <w:jc w:val="left"/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（10）实施/校准/认证/标准</w:t>
      </w:r>
    </w:p>
    <w:p>
      <w:pPr>
        <w:pStyle w:val="2"/>
        <w:ind w:firstLine="240" w:firstLineChars="100"/>
        <w:jc w:val="left"/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（11）结构健康监测技术应用</w:t>
      </w:r>
    </w:p>
    <w:p>
      <w:pPr>
        <w:pStyle w:val="2"/>
        <w:ind w:firstLine="240" w:firstLineChars="100"/>
        <w:jc w:val="left"/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jc w:val="left"/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七、收费标准</w:t>
      </w:r>
    </w:p>
    <w:tbl>
      <w:tblPr>
        <w:tblStyle w:val="13"/>
        <w:tblW w:w="8412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3"/>
        <w:gridCol w:w="4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  <w:t>区域</w:t>
            </w:r>
          </w:p>
        </w:tc>
        <w:tc>
          <w:tcPr>
            <w:tcW w:w="4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jc w:val="left"/>
              <w:rPr>
                <w:rFonts w:hint="default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  <w:t>标准展位（人民币）</w:t>
            </w:r>
          </w:p>
        </w:tc>
        <w:tc>
          <w:tcPr>
            <w:tcW w:w="4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16800元</w:t>
            </w:r>
            <w:r>
              <w:rPr>
                <w:rFonts w:hint="default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default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㎡</w:t>
            </w: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（双开口加收10%）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  <w:t>光地（人民币）</w:t>
            </w:r>
          </w:p>
        </w:tc>
        <w:tc>
          <w:tcPr>
            <w:tcW w:w="4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800</w:t>
            </w:r>
            <w:r>
              <w:rPr>
                <w:rFonts w:hint="default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元/㎡</w:t>
            </w:r>
          </w:p>
        </w:tc>
      </w:tr>
    </w:tbl>
    <w:p>
      <w:pPr>
        <w:pStyle w:val="2"/>
        <w:jc w:val="left"/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·标准展位最小租用面积为9㎡，标准展位配置包含展三面围板、咨询桌一张、椅子两把、射灯两盏、中英文双语楣板一条、220V电源插座一个（限500W内用电）；</w:t>
      </w:r>
    </w:p>
    <w:p>
      <w:pPr>
        <w:pStyle w:val="2"/>
        <w:jc w:val="left"/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·光地最小租用面积为18㎡，光地不含基本配置。</w:t>
      </w:r>
    </w:p>
    <w:tbl>
      <w:tblPr>
        <w:tblStyle w:val="12"/>
        <w:tblpPr w:leftFromText="180" w:rightFromText="180" w:vertAnchor="text" w:tblpXSpec="center" w:tblpY="1"/>
        <w:tblOverlap w:val="never"/>
        <w:tblW w:w="841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2"/>
        <w:gridCol w:w="1650"/>
        <w:gridCol w:w="3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3032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内容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jc w:val="left"/>
              <w:rPr>
                <w:rFonts w:hint="default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价格</w:t>
            </w:r>
          </w:p>
        </w:tc>
        <w:tc>
          <w:tcPr>
            <w:tcW w:w="3733" w:type="dxa"/>
            <w:vAlign w:val="center"/>
          </w:tcPr>
          <w:p>
            <w:pPr>
              <w:pStyle w:val="2"/>
              <w:jc w:val="left"/>
              <w:rPr>
                <w:rFonts w:hint="default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权益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3032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在专题论坛上作报告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40000元</w:t>
            </w:r>
          </w:p>
        </w:tc>
        <w:tc>
          <w:tcPr>
            <w:tcW w:w="3733" w:type="dxa"/>
            <w:vAlign w:val="center"/>
          </w:tcPr>
          <w:p>
            <w:pPr>
              <w:pStyle w:val="2"/>
              <w:jc w:val="left"/>
              <w:rPr>
                <w:rFonts w:hint="default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15分钟/9平米标准展位</w:t>
            </w:r>
          </w:p>
        </w:tc>
      </w:tr>
    </w:tbl>
    <w:p>
      <w:pPr>
        <w:pStyle w:val="2"/>
        <w:jc w:val="left"/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jc w:val="left"/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>八、会刊广告</w:t>
      </w:r>
    </w:p>
    <w:p>
      <w:pPr>
        <w:pStyle w:val="2"/>
        <w:jc w:val="left"/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zh-CN" w:eastAsia="zh-CN" w:bidi="ar-SA"/>
        </w:rPr>
      </w:pP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zh-CN" w:eastAsia="zh-CN" w:bidi="ar-SA"/>
        </w:rPr>
        <w:t>展览会将印制《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产品推荐展刊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zh-CN" w:eastAsia="zh-CN" w:bidi="ar-SA"/>
        </w:rPr>
        <w:t>》，在展览会现场向观众散发，参展厂商可在展览会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展刊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zh-CN" w:eastAsia="zh-CN" w:bidi="ar-SA"/>
        </w:rPr>
        <w:t>上刊登内页广告一页，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展刊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zh-CN" w:eastAsia="zh-CN" w:bidi="ar-SA"/>
        </w:rPr>
        <w:t>由大会统一分发（会刊尺寸：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135mmx210mm）</w:t>
      </w: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zh-CN" w:eastAsia="zh-CN" w:bidi="ar-SA"/>
        </w:rPr>
        <w:t>。其它赞助请致电组委会如：冠名、晚宴、挂绳、胸卡、资料袋、礼品、展场广告等。</w:t>
      </w:r>
    </w:p>
    <w:tbl>
      <w:tblPr>
        <w:tblStyle w:val="13"/>
        <w:tblW w:w="84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422"/>
        <w:gridCol w:w="1606"/>
        <w:gridCol w:w="1977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6" w:type="dxa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  <w:t>展刊封底</w:t>
            </w:r>
          </w:p>
        </w:tc>
        <w:tc>
          <w:tcPr>
            <w:tcW w:w="1422" w:type="dxa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  <w:t>展刊封二</w:t>
            </w:r>
          </w:p>
        </w:tc>
        <w:tc>
          <w:tcPr>
            <w:tcW w:w="1606" w:type="dxa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  <w:t>展刊封三</w:t>
            </w:r>
          </w:p>
        </w:tc>
        <w:tc>
          <w:tcPr>
            <w:tcW w:w="1977" w:type="dxa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  <w:t>正文首页</w:t>
            </w:r>
          </w:p>
        </w:tc>
        <w:tc>
          <w:tcPr>
            <w:tcW w:w="1536" w:type="dxa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  <w:t>内页整版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  <w:t>,000元</w:t>
            </w:r>
          </w:p>
        </w:tc>
        <w:tc>
          <w:tcPr>
            <w:tcW w:w="1422" w:type="dxa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  <w:t>20,000元</w:t>
            </w:r>
          </w:p>
        </w:tc>
        <w:tc>
          <w:tcPr>
            <w:tcW w:w="1606" w:type="dxa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  <w:t>17,000元</w:t>
            </w:r>
          </w:p>
        </w:tc>
        <w:tc>
          <w:tcPr>
            <w:tcW w:w="1977" w:type="dxa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  <w:t>19,000元</w:t>
            </w:r>
          </w:p>
        </w:tc>
        <w:tc>
          <w:tcPr>
            <w:tcW w:w="1536" w:type="dxa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  <w:t>4,000元</w:t>
            </w:r>
          </w:p>
        </w:tc>
      </w:tr>
    </w:tbl>
    <w:p>
      <w:pPr>
        <w:pStyle w:val="2"/>
        <w:jc w:val="left"/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jc w:val="left"/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 xml:space="preserve">九、参展程序 </w:t>
      </w:r>
    </w:p>
    <w:p>
      <w:pPr>
        <w:pStyle w:val="2"/>
        <w:jc w:val="left"/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  <w:t>填写展位申请表、加章后邮件或传真至大会组委会。在申请展位五个工作日内将参展费用全款电汇或交至组委会，展位顺序分配原则：“先申请、先付款、先安排”，否则主办单位将视其放弃参展，不再保留展位。</w:t>
      </w:r>
    </w:p>
    <w:p>
      <w:pPr>
        <w:pStyle w:val="2"/>
        <w:jc w:val="left"/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jc w:val="left"/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 xml:space="preserve">联系我们 </w:t>
      </w:r>
    </w:p>
    <w:p>
      <w:pPr>
        <w:pStyle w:val="2"/>
        <w:jc w:val="left"/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 xml:space="preserve">恒兴国际会展集团有限公司 </w:t>
      </w:r>
    </w:p>
    <w:p>
      <w:pPr>
        <w:pStyle w:val="2"/>
        <w:jc w:val="left"/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 xml:space="preserve">地  址：北京市通州区新华北路绿地中央城二期20层    </w:t>
      </w:r>
    </w:p>
    <w:p>
      <w:pPr>
        <w:pStyle w:val="2"/>
        <w:jc w:val="left"/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 xml:space="preserve">邮  编：101101 </w:t>
      </w:r>
    </w:p>
    <w:p>
      <w:pPr>
        <w:pStyle w:val="2"/>
        <w:jc w:val="left"/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 xml:space="preserve">联系人：许刚 13524288938（同微信） </w:t>
      </w:r>
    </w:p>
    <w:p>
      <w:pPr>
        <w:pStyle w:val="2"/>
        <w:jc w:val="left"/>
        <w:rPr>
          <w:rFonts w:hint="default" w:ascii="仿宋" w:hAnsi="仿宋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4"/>
          <w:szCs w:val="24"/>
          <w:lang w:val="en-US" w:eastAsia="zh-CN" w:bidi="ar-SA"/>
        </w:rPr>
        <w:t xml:space="preserve">邮箱：1184218416@qq.com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MmMzZWExZjExNzgxODg2YTA1MjA2NTU4MzZiNTAifQ=="/>
  </w:docVars>
  <w:rsids>
    <w:rsidRoot w:val="00000000"/>
    <w:rsid w:val="00ED2761"/>
    <w:rsid w:val="03BE07F6"/>
    <w:rsid w:val="04C609C8"/>
    <w:rsid w:val="05C704E5"/>
    <w:rsid w:val="064E11C7"/>
    <w:rsid w:val="07F25F78"/>
    <w:rsid w:val="08E56E78"/>
    <w:rsid w:val="0978425B"/>
    <w:rsid w:val="098A1B2B"/>
    <w:rsid w:val="0A305DD2"/>
    <w:rsid w:val="0AC27E84"/>
    <w:rsid w:val="0B7F7B23"/>
    <w:rsid w:val="0BA25067"/>
    <w:rsid w:val="0BF73B5D"/>
    <w:rsid w:val="0DFC36AD"/>
    <w:rsid w:val="0E3D4B25"/>
    <w:rsid w:val="0E465DF9"/>
    <w:rsid w:val="0E5C05EF"/>
    <w:rsid w:val="0F691F23"/>
    <w:rsid w:val="10522661"/>
    <w:rsid w:val="10C633A6"/>
    <w:rsid w:val="122171D5"/>
    <w:rsid w:val="129C2C7D"/>
    <w:rsid w:val="1373498C"/>
    <w:rsid w:val="13C27D84"/>
    <w:rsid w:val="14116A13"/>
    <w:rsid w:val="14DA2F92"/>
    <w:rsid w:val="16836E72"/>
    <w:rsid w:val="168C7FD7"/>
    <w:rsid w:val="16CF22FB"/>
    <w:rsid w:val="174A6C56"/>
    <w:rsid w:val="17FD4829"/>
    <w:rsid w:val="185D6D17"/>
    <w:rsid w:val="199C7AF2"/>
    <w:rsid w:val="19FE07AD"/>
    <w:rsid w:val="1A9A7C01"/>
    <w:rsid w:val="1AA030C7"/>
    <w:rsid w:val="1AD86729"/>
    <w:rsid w:val="1B03437F"/>
    <w:rsid w:val="1B9C202B"/>
    <w:rsid w:val="1C80616F"/>
    <w:rsid w:val="1CEA5D13"/>
    <w:rsid w:val="1CFD7CE3"/>
    <w:rsid w:val="1D5F612B"/>
    <w:rsid w:val="1D884F5D"/>
    <w:rsid w:val="1F325180"/>
    <w:rsid w:val="20924B74"/>
    <w:rsid w:val="215D5C72"/>
    <w:rsid w:val="21C51683"/>
    <w:rsid w:val="22AB77C8"/>
    <w:rsid w:val="240370EB"/>
    <w:rsid w:val="24613E12"/>
    <w:rsid w:val="24863878"/>
    <w:rsid w:val="2573204F"/>
    <w:rsid w:val="261B7A42"/>
    <w:rsid w:val="263848E2"/>
    <w:rsid w:val="2670658E"/>
    <w:rsid w:val="26F40225"/>
    <w:rsid w:val="27C03F46"/>
    <w:rsid w:val="28405F89"/>
    <w:rsid w:val="286640ED"/>
    <w:rsid w:val="28AC2217"/>
    <w:rsid w:val="28C90EAB"/>
    <w:rsid w:val="29483B02"/>
    <w:rsid w:val="2ABC1EB3"/>
    <w:rsid w:val="2B083239"/>
    <w:rsid w:val="2B914064"/>
    <w:rsid w:val="2BB86E0D"/>
    <w:rsid w:val="2BE04870"/>
    <w:rsid w:val="2C961536"/>
    <w:rsid w:val="2D3A63C1"/>
    <w:rsid w:val="2E2A49DD"/>
    <w:rsid w:val="2E5F7614"/>
    <w:rsid w:val="30A2326D"/>
    <w:rsid w:val="30B349C3"/>
    <w:rsid w:val="311F01B7"/>
    <w:rsid w:val="31523460"/>
    <w:rsid w:val="317006F6"/>
    <w:rsid w:val="329A450E"/>
    <w:rsid w:val="32F4321B"/>
    <w:rsid w:val="33DB0DF4"/>
    <w:rsid w:val="342E0F88"/>
    <w:rsid w:val="344E5632"/>
    <w:rsid w:val="35056CD1"/>
    <w:rsid w:val="352C0D36"/>
    <w:rsid w:val="3658138C"/>
    <w:rsid w:val="37F63152"/>
    <w:rsid w:val="382C4A0B"/>
    <w:rsid w:val="38600DCA"/>
    <w:rsid w:val="38875604"/>
    <w:rsid w:val="38BF0B40"/>
    <w:rsid w:val="3A217E73"/>
    <w:rsid w:val="3A3277F2"/>
    <w:rsid w:val="3B063F9D"/>
    <w:rsid w:val="3E18158D"/>
    <w:rsid w:val="3E965C8A"/>
    <w:rsid w:val="3F542A99"/>
    <w:rsid w:val="401364B0"/>
    <w:rsid w:val="404B3C67"/>
    <w:rsid w:val="409D5C9C"/>
    <w:rsid w:val="40E776E9"/>
    <w:rsid w:val="412557B3"/>
    <w:rsid w:val="42272E99"/>
    <w:rsid w:val="43677183"/>
    <w:rsid w:val="4371524E"/>
    <w:rsid w:val="452C6C12"/>
    <w:rsid w:val="45687B0A"/>
    <w:rsid w:val="45E0735E"/>
    <w:rsid w:val="464E1FF0"/>
    <w:rsid w:val="46925E6C"/>
    <w:rsid w:val="46997A1B"/>
    <w:rsid w:val="46BA7686"/>
    <w:rsid w:val="474358CD"/>
    <w:rsid w:val="479462B0"/>
    <w:rsid w:val="47B2035D"/>
    <w:rsid w:val="48E8313D"/>
    <w:rsid w:val="4AD3313E"/>
    <w:rsid w:val="4B616010"/>
    <w:rsid w:val="4B826538"/>
    <w:rsid w:val="4BE01C09"/>
    <w:rsid w:val="4BF83643"/>
    <w:rsid w:val="4C2555A1"/>
    <w:rsid w:val="4C3C0B3D"/>
    <w:rsid w:val="4D3521BB"/>
    <w:rsid w:val="4D5D6CC8"/>
    <w:rsid w:val="4DD46E8D"/>
    <w:rsid w:val="4EF360C4"/>
    <w:rsid w:val="50392DBD"/>
    <w:rsid w:val="50AA076B"/>
    <w:rsid w:val="514F6FF6"/>
    <w:rsid w:val="534D7453"/>
    <w:rsid w:val="53B813F1"/>
    <w:rsid w:val="54C56D9D"/>
    <w:rsid w:val="550D751A"/>
    <w:rsid w:val="5511723F"/>
    <w:rsid w:val="55A27C63"/>
    <w:rsid w:val="55B804C4"/>
    <w:rsid w:val="55ED5B98"/>
    <w:rsid w:val="562E04AF"/>
    <w:rsid w:val="565D123C"/>
    <w:rsid w:val="568B2BAE"/>
    <w:rsid w:val="57A81A05"/>
    <w:rsid w:val="59682F71"/>
    <w:rsid w:val="59DF35B8"/>
    <w:rsid w:val="5A443122"/>
    <w:rsid w:val="5AC8787B"/>
    <w:rsid w:val="5B046CCA"/>
    <w:rsid w:val="5B7D2D24"/>
    <w:rsid w:val="5CE54605"/>
    <w:rsid w:val="5DAC243C"/>
    <w:rsid w:val="5DB449D7"/>
    <w:rsid w:val="5DC67D61"/>
    <w:rsid w:val="5F092B01"/>
    <w:rsid w:val="60D04B86"/>
    <w:rsid w:val="634509A7"/>
    <w:rsid w:val="636E7DE6"/>
    <w:rsid w:val="64016C6D"/>
    <w:rsid w:val="642A59F3"/>
    <w:rsid w:val="65BE554C"/>
    <w:rsid w:val="662E109F"/>
    <w:rsid w:val="6678305C"/>
    <w:rsid w:val="67386679"/>
    <w:rsid w:val="67567318"/>
    <w:rsid w:val="67D537EE"/>
    <w:rsid w:val="6955518E"/>
    <w:rsid w:val="6B297502"/>
    <w:rsid w:val="6B9F666D"/>
    <w:rsid w:val="6BB40298"/>
    <w:rsid w:val="6BE26BB3"/>
    <w:rsid w:val="6C2333ED"/>
    <w:rsid w:val="6D8C327A"/>
    <w:rsid w:val="6EDF1489"/>
    <w:rsid w:val="6F670C79"/>
    <w:rsid w:val="705F294D"/>
    <w:rsid w:val="71144A7D"/>
    <w:rsid w:val="717C7162"/>
    <w:rsid w:val="72ED0EA4"/>
    <w:rsid w:val="72F0605A"/>
    <w:rsid w:val="748650DC"/>
    <w:rsid w:val="752D1B6F"/>
    <w:rsid w:val="767D5E56"/>
    <w:rsid w:val="785A08FF"/>
    <w:rsid w:val="78E305E2"/>
    <w:rsid w:val="796F764D"/>
    <w:rsid w:val="7A721A4A"/>
    <w:rsid w:val="7A737E4E"/>
    <w:rsid w:val="7A777F84"/>
    <w:rsid w:val="7B32696A"/>
    <w:rsid w:val="7BC41E31"/>
    <w:rsid w:val="7CF84488"/>
    <w:rsid w:val="7EE06F82"/>
    <w:rsid w:val="7FD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黑体简体" w:hAnsi="Calibri" w:eastAsia="方正黑体简体" w:cs="方正黑体简体"/>
      <w:color w:val="000000"/>
      <w:kern w:val="0"/>
      <w:sz w:val="24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rPr>
      <w:rFonts w:ascii="Calibri" w:hAnsi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2225</Words>
  <Characters>2507</Characters>
  <Lines>0</Lines>
  <Paragraphs>0</Paragraphs>
  <TotalTime>0</TotalTime>
  <ScaleCrop>false</ScaleCrop>
  <LinksUpToDate>false</LinksUpToDate>
  <CharactersWithSpaces>2562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71245</dc:creator>
  <cp:lastModifiedBy>Administrator</cp:lastModifiedBy>
  <cp:lastPrinted>2023-11-27T09:35:00Z</cp:lastPrinted>
  <dcterms:modified xsi:type="dcterms:W3CDTF">2024-05-09T06:51:27Z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D82B1939C2E242939294BB3BC6CC6537_12</vt:lpwstr>
  </property>
</Properties>
</file>