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bidi w:val="0"/>
        <w:rPr>
          <w:rFonts w:hint="default"/>
          <w:lang w:val="en-US" w:eastAsia="zh-CN"/>
        </w:rPr>
      </w:pPr>
      <w:r>
        <w:rPr>
          <w:rFonts w:hint="eastAsia"/>
          <w:lang w:eastAsia="zh-CN"/>
        </w:rPr>
        <w:drawing>
          <wp:anchor distT="0" distB="0" distL="114300" distR="114300" simplePos="0" relativeHeight="251661312" behindDoc="0" locked="0" layoutInCell="1" allowOverlap="1">
            <wp:simplePos x="0" y="0"/>
            <wp:positionH relativeFrom="column">
              <wp:posOffset>-534670</wp:posOffset>
            </wp:positionH>
            <wp:positionV relativeFrom="paragraph">
              <wp:posOffset>-1485900</wp:posOffset>
            </wp:positionV>
            <wp:extent cx="7620635" cy="10779125"/>
            <wp:effectExtent l="0" t="0" r="18415" b="3175"/>
            <wp:wrapSquare wrapText="bothSides"/>
            <wp:docPr id="2" name="图片 2" descr="E:\各个展会资料\4-筑博会\2024筑博会\文案\邀请函\封面\筑博会邀请函-博览城.jpg筑博会邀请函-博览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各个展会资料\4-筑博会\2024筑博会\文案\邀请函\封面\筑博会邀请函-博览城.jpg筑博会邀请函-博览城"/>
                    <pic:cNvPicPr>
                      <a:picLocks noChangeAspect="1"/>
                    </pic:cNvPicPr>
                  </pic:nvPicPr>
                  <pic:blipFill>
                    <a:blip r:embed="rId7"/>
                    <a:srcRect/>
                    <a:stretch>
                      <a:fillRect/>
                    </a:stretch>
                  </pic:blipFill>
                  <pic:spPr>
                    <a:xfrm>
                      <a:off x="0" y="0"/>
                      <a:ext cx="7620635" cy="10779125"/>
                    </a:xfrm>
                    <a:prstGeom prst="rect">
                      <a:avLst/>
                    </a:prstGeom>
                  </pic:spPr>
                </pic:pic>
              </a:graphicData>
            </a:graphic>
          </wp:anchor>
        </w:drawing>
      </w:r>
      <w:r>
        <w:rPr>
          <w:rFonts w:hint="eastAsia"/>
          <w:lang w:val="en-US" w:eastAsia="zh-CN"/>
        </w:rPr>
        <w:t xml:space="preserve">  </w:t>
      </w:r>
    </w:p>
    <w:p>
      <w:pPr>
        <w:rPr>
          <w:rFonts w:hint="eastAsia"/>
          <w:lang w:eastAsia="zh-CN"/>
        </w:rPr>
        <w:sectPr>
          <w:headerReference r:id="rId3" w:type="default"/>
          <w:footerReference r:id="rId4" w:type="default"/>
          <w:pgSz w:w="11906" w:h="16838"/>
          <w:pgMar w:top="1440" w:right="1633" w:bottom="1440" w:left="1633"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
        <w:rPr>
          <w:rFonts w:hint="eastAsia"/>
          <w:lang w:eastAsia="zh-CN"/>
        </w:rPr>
      </w:pPr>
    </w:p>
    <w:p>
      <w:pPr>
        <w:pStyle w:val="2"/>
        <w:ind w:firstLine="3534" w:firstLineChars="1100"/>
        <w:jc w:val="both"/>
        <w:rPr>
          <w:rFonts w:hint="eastAsia" w:ascii="黑体" w:hAnsi="黑体" w:eastAsia="黑体" w:cs="黑体"/>
          <w:b/>
          <w:bCs/>
          <w:color w:val="2E75B6" w:themeColor="accent1" w:themeShade="BF"/>
          <w:sz w:val="32"/>
          <w:szCs w:val="32"/>
          <w:lang w:val="en-US"/>
        </w:rPr>
      </w:pPr>
      <w:r>
        <w:rPr>
          <w:rFonts w:hint="eastAsia" w:ascii="黑体" w:hAnsi="黑体" w:eastAsia="黑体" w:cs="黑体"/>
          <w:b/>
          <w:bCs/>
          <w:color w:val="2E75B6" w:themeColor="accent1" w:themeShade="BF"/>
          <w:sz w:val="32"/>
          <w:szCs w:val="32"/>
          <w:lang w:val="en-US" w:eastAsia="zh-CN"/>
        </w:rPr>
        <w:t>前 言</w:t>
      </w:r>
    </w:p>
    <w:p>
      <w:pPr>
        <w:bidi w:val="0"/>
        <w:ind w:firstLine="640" w:firstLineChars="200"/>
        <w:rPr>
          <w:rStyle w:val="14"/>
          <w:rFonts w:hint="eastAsia" w:ascii="仿宋" w:hAnsi="仿宋" w:eastAsia="仿宋" w:cs="仿宋"/>
          <w:color w:val="auto"/>
          <w:sz w:val="32"/>
          <w:szCs w:val="32"/>
          <w:lang w:val="en-US" w:eastAsia="zh-CN"/>
        </w:rPr>
      </w:pPr>
      <w:r>
        <w:rPr>
          <w:rFonts w:hint="eastAsia" w:ascii="仿宋" w:hAnsi="仿宋" w:eastAsia="仿宋" w:cs="仿宋"/>
          <w:sz w:val="32"/>
          <w:szCs w:val="32"/>
          <w:lang w:eastAsia="zh-CN"/>
        </w:rPr>
        <w:t>为了全面落实省委省政府</w:t>
      </w:r>
      <w:r>
        <w:rPr>
          <w:rFonts w:hint="eastAsia" w:ascii="仿宋" w:hAnsi="仿宋" w:eastAsia="仿宋" w:cs="仿宋"/>
          <w:sz w:val="32"/>
          <w:szCs w:val="32"/>
        </w:rPr>
        <w:t>关于深入贯彻落实习近平总书记在新时代推动东北全面振兴座谈会上的重要讲话精神</w:t>
      </w:r>
      <w:r>
        <w:rPr>
          <w:rFonts w:hint="eastAsia" w:ascii="仿宋" w:hAnsi="仿宋" w:eastAsia="仿宋" w:cs="仿宋"/>
          <w:sz w:val="32"/>
          <w:szCs w:val="32"/>
          <w:lang w:eastAsia="zh-CN"/>
        </w:rPr>
        <w:t>、</w:t>
      </w:r>
      <w:r>
        <w:rPr>
          <w:rFonts w:hint="eastAsia" w:ascii="仿宋" w:hAnsi="仿宋" w:eastAsia="仿宋" w:cs="仿宋"/>
          <w:sz w:val="32"/>
          <w:szCs w:val="32"/>
        </w:rPr>
        <w:t>推动长春全面振兴新突破具体措施工作谋划</w:t>
      </w:r>
      <w:r>
        <w:rPr>
          <w:rFonts w:hint="eastAsia" w:ascii="仿宋" w:hAnsi="仿宋" w:eastAsia="仿宋" w:cs="仿宋"/>
          <w:sz w:val="32"/>
          <w:szCs w:val="32"/>
          <w:lang w:eastAsia="zh-CN"/>
        </w:rPr>
        <w:t>，</w:t>
      </w:r>
      <w:r>
        <w:rPr>
          <w:rFonts w:hint="eastAsia" w:ascii="仿宋" w:hAnsi="仿宋" w:eastAsia="仿宋" w:cs="仿宋"/>
          <w:sz w:val="32"/>
          <w:szCs w:val="32"/>
        </w:rPr>
        <w:t>聚焦全面实施“一主六双”高质量发展战略、发展“六新产业”、建设“四新设施”等重点任务，</w:t>
      </w:r>
      <w:r>
        <w:rPr>
          <w:rFonts w:hint="eastAsia" w:ascii="仿宋" w:hAnsi="仿宋" w:eastAsia="仿宋" w:cs="仿宋"/>
          <w:sz w:val="32"/>
          <w:szCs w:val="32"/>
          <w:lang w:eastAsia="zh-CN"/>
        </w:rPr>
        <w:t>为</w:t>
      </w:r>
      <w:r>
        <w:rPr>
          <w:rFonts w:hint="eastAsia" w:ascii="仿宋" w:hAnsi="仿宋" w:eastAsia="仿宋" w:cs="仿宋"/>
          <w:sz w:val="32"/>
          <w:szCs w:val="32"/>
        </w:rPr>
        <w:t>持续培育新产业新业态新模式，加快打造吉林全面振兴新增长点</w:t>
      </w:r>
      <w:r>
        <w:rPr>
          <w:rFonts w:hint="eastAsia" w:ascii="仿宋" w:hAnsi="仿宋" w:eastAsia="仿宋" w:cs="仿宋"/>
          <w:sz w:val="32"/>
          <w:szCs w:val="32"/>
          <w:lang w:eastAsia="zh-CN"/>
        </w:rPr>
        <w:t>，</w:t>
      </w:r>
      <w:r>
        <w:rPr>
          <w:rStyle w:val="14"/>
          <w:rFonts w:hint="eastAsia" w:ascii="仿宋" w:hAnsi="仿宋" w:eastAsia="仿宋" w:cs="仿宋"/>
          <w:color w:val="auto"/>
          <w:sz w:val="32"/>
          <w:szCs w:val="32"/>
          <w:lang w:val="en-US" w:eastAsia="zh-CN"/>
        </w:rPr>
        <w:t>助推吉林省</w:t>
      </w:r>
      <w:r>
        <w:rPr>
          <w:rFonts w:hint="eastAsia" w:ascii="仿宋" w:hAnsi="仿宋" w:eastAsia="仿宋" w:cs="仿宋"/>
          <w:color w:val="auto"/>
          <w:spacing w:val="5"/>
          <w:sz w:val="32"/>
          <w:szCs w:val="32"/>
          <w:lang w:eastAsia="zh-CN"/>
        </w:rPr>
        <w:t>现代建筑产业高质量发展</w:t>
      </w:r>
      <w:r>
        <w:rPr>
          <w:rFonts w:hint="eastAsia" w:ascii="仿宋" w:hAnsi="仿宋" w:eastAsia="仿宋" w:cs="仿宋"/>
          <w:color w:val="auto"/>
          <w:spacing w:val="6"/>
          <w:sz w:val="32"/>
          <w:szCs w:val="32"/>
        </w:rPr>
        <w:t>,</w:t>
      </w:r>
      <w:r>
        <w:rPr>
          <w:rFonts w:hint="eastAsia" w:ascii="仿宋" w:hAnsi="仿宋" w:eastAsia="仿宋" w:cs="仿宋"/>
          <w:color w:val="auto"/>
          <w:spacing w:val="6"/>
          <w:sz w:val="32"/>
          <w:szCs w:val="32"/>
          <w:lang w:eastAsia="zh-CN"/>
        </w:rPr>
        <w:t>拟</w:t>
      </w:r>
      <w:r>
        <w:rPr>
          <w:rStyle w:val="14"/>
          <w:rFonts w:hint="eastAsia" w:ascii="仿宋" w:hAnsi="仿宋" w:eastAsia="仿宋" w:cs="仿宋"/>
          <w:color w:val="auto"/>
          <w:sz w:val="32"/>
          <w:szCs w:val="32"/>
          <w:lang w:val="en-US" w:eastAsia="zh-CN"/>
        </w:rPr>
        <w:t>决定举办第四届中国(长春）现代建筑产业博览会。</w:t>
      </w:r>
    </w:p>
    <w:p>
      <w:pPr>
        <w:bidi w:val="0"/>
        <w:ind w:firstLine="643" w:firstLineChars="200"/>
        <w:jc w:val="left"/>
        <w:rPr>
          <w:rStyle w:val="14"/>
          <w:rFonts w:hint="default" w:ascii="黑体" w:hAnsi="黑体" w:eastAsia="黑体" w:cs="黑体"/>
          <w:b/>
          <w:bCs/>
          <w:color w:val="2E75B6" w:themeColor="accent1" w:themeShade="BF"/>
          <w:kern w:val="36"/>
          <w:sz w:val="32"/>
          <w:szCs w:val="32"/>
          <w:u w:val="none"/>
          <w:lang w:val="en-US" w:eastAsia="zh-CN"/>
        </w:rPr>
      </w:pPr>
      <w:r>
        <w:rPr>
          <w:rStyle w:val="14"/>
          <w:rFonts w:hint="eastAsia" w:ascii="黑体" w:hAnsi="黑体" w:eastAsia="黑体" w:cs="黑体"/>
          <w:b/>
          <w:bCs/>
          <w:color w:val="2E75B6" w:themeColor="accent1" w:themeShade="BF"/>
          <w:kern w:val="36"/>
          <w:sz w:val="32"/>
          <w:szCs w:val="32"/>
          <w:u w:val="none"/>
          <w:lang w:val="en-US" w:eastAsia="zh-CN"/>
        </w:rPr>
        <w:t>一、</w:t>
      </w:r>
      <w:r>
        <w:rPr>
          <w:rStyle w:val="14"/>
          <w:rFonts w:hint="eastAsia" w:ascii="黑体" w:hAnsi="黑体" w:eastAsia="黑体" w:cs="黑体"/>
          <w:b/>
          <w:bCs/>
          <w:color w:val="2E75B6" w:themeColor="accent1" w:themeShade="BF"/>
          <w:kern w:val="36"/>
          <w:sz w:val="32"/>
          <w:szCs w:val="32"/>
          <w:u w:val="none"/>
          <w:lang w:eastAsia="zh-CN"/>
        </w:rPr>
        <w:t>总体安排</w:t>
      </w:r>
    </w:p>
    <w:p>
      <w:pPr>
        <w:ind w:firstLine="320" w:firstLineChars="100"/>
        <w:rPr>
          <w:rFonts w:hint="eastAsia" w:ascii="仿宋" w:hAnsi="仿宋" w:eastAsia="仿宋" w:cs="仿宋"/>
          <w:b w:val="0"/>
          <w:bCs w:val="0"/>
          <w:sz w:val="32"/>
          <w:szCs w:val="32"/>
          <w:lang w:val="en-US" w:eastAsia="zh-CN"/>
        </w:rPr>
      </w:pPr>
      <w:r>
        <w:rPr>
          <w:rFonts w:hint="eastAsia" w:ascii="仿宋" w:hAnsi="仿宋" w:eastAsia="仿宋" w:cs="仿宋"/>
          <w:color w:val="auto"/>
          <w:sz w:val="32"/>
          <w:szCs w:val="32"/>
          <w:lang w:eastAsia="zh-CN"/>
        </w:rPr>
        <w:t>（一）</w:t>
      </w:r>
      <w:r>
        <w:rPr>
          <w:rFonts w:hint="eastAsia" w:ascii="仿宋" w:hAnsi="仿宋" w:eastAsia="仿宋" w:cs="仿宋"/>
          <w:color w:val="auto"/>
          <w:sz w:val="32"/>
          <w:szCs w:val="32"/>
        </w:rPr>
        <w:t>主题：</w:t>
      </w:r>
      <w:r>
        <w:rPr>
          <w:rFonts w:hint="eastAsia" w:ascii="仿宋" w:hAnsi="仿宋" w:eastAsia="仿宋" w:cs="仿宋"/>
          <w:b w:val="0"/>
          <w:bCs w:val="0"/>
          <w:sz w:val="32"/>
          <w:szCs w:val="32"/>
          <w:lang w:eastAsia="zh-CN"/>
        </w:rPr>
        <w:t>低碳</w:t>
      </w:r>
      <w:r>
        <w:rPr>
          <w:rFonts w:hint="eastAsia" w:ascii="仿宋" w:hAnsi="仿宋" w:eastAsia="仿宋" w:cs="仿宋"/>
          <w:b w:val="0"/>
          <w:bCs w:val="0"/>
          <w:sz w:val="32"/>
          <w:szCs w:val="32"/>
          <w:lang w:val="en-US" w:eastAsia="zh-CN"/>
        </w:rPr>
        <w:t xml:space="preserve"> 创新 引领 发展 </w:t>
      </w:r>
    </w:p>
    <w:p>
      <w:pPr>
        <w:ind w:firstLine="320" w:firstLineChars="100"/>
        <w:rPr>
          <w:rStyle w:val="14"/>
          <w:rFonts w:hint="eastAsia" w:ascii="仿宋" w:hAnsi="仿宋" w:eastAsia="仿宋" w:cs="仿宋"/>
          <w:color w:val="000000"/>
          <w:sz w:val="32"/>
          <w:szCs w:val="32"/>
          <w:lang w:val="en-US" w:eastAsia="zh-CN"/>
        </w:rPr>
      </w:pPr>
      <w:r>
        <w:rPr>
          <w:rFonts w:hint="eastAsia" w:ascii="仿宋" w:hAnsi="仿宋" w:eastAsia="仿宋" w:cs="仿宋"/>
          <w:sz w:val="32"/>
          <w:szCs w:val="32"/>
          <w:lang w:eastAsia="zh-CN"/>
        </w:rPr>
        <w:t>（二）</w:t>
      </w:r>
      <w:r>
        <w:rPr>
          <w:rFonts w:hint="eastAsia" w:ascii="仿宋" w:hAnsi="仿宋" w:eastAsia="仿宋" w:cs="仿宋"/>
          <w:sz w:val="32"/>
          <w:szCs w:val="32"/>
        </w:rPr>
        <w:t>宗旨：</w:t>
      </w:r>
      <w:r>
        <w:rPr>
          <w:rFonts w:hint="eastAsia" w:ascii="仿宋" w:hAnsi="仿宋" w:eastAsia="仿宋" w:cs="仿宋"/>
          <w:i w:val="0"/>
          <w:iCs w:val="0"/>
          <w:caps w:val="0"/>
          <w:color w:val="000000"/>
          <w:spacing w:val="0"/>
          <w:sz w:val="32"/>
          <w:szCs w:val="32"/>
          <w:shd w:val="clear" w:color="auto" w:fill="FFFFFF"/>
          <w:lang w:val="en-US" w:eastAsia="zh-CN"/>
        </w:rPr>
        <w:t>聚焦新型建筑业态</w:t>
      </w:r>
      <w:r>
        <w:rPr>
          <w:rFonts w:hint="eastAsia" w:ascii="仿宋" w:hAnsi="仿宋" w:eastAsia="仿宋" w:cs="仿宋"/>
          <w:b w:val="0"/>
          <w:bCs w:val="0"/>
          <w:i w:val="0"/>
          <w:iCs w:val="0"/>
          <w:caps w:val="0"/>
          <w:color w:val="000000"/>
          <w:spacing w:val="0"/>
          <w:kern w:val="0"/>
          <w:sz w:val="32"/>
          <w:szCs w:val="32"/>
          <w:lang w:val="en-US" w:eastAsia="zh-CN" w:bidi="ar"/>
        </w:rPr>
        <w:t>，打造建筑全产业链平台</w:t>
      </w:r>
    </w:p>
    <w:p>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（三）</w:t>
      </w:r>
      <w:r>
        <w:rPr>
          <w:rFonts w:hint="eastAsia" w:ascii="仿宋" w:hAnsi="仿宋" w:eastAsia="仿宋" w:cs="仿宋"/>
          <w:sz w:val="32"/>
          <w:szCs w:val="32"/>
        </w:rPr>
        <w:t>时间：</w:t>
      </w:r>
      <w:r>
        <w:rPr>
          <w:rStyle w:val="14"/>
          <w:rFonts w:hint="eastAsia" w:ascii="仿宋" w:hAnsi="仿宋" w:eastAsia="仿宋" w:cs="仿宋"/>
          <w:color w:val="000000"/>
          <w:sz w:val="32"/>
          <w:szCs w:val="32"/>
        </w:rPr>
        <w:t>202</w:t>
      </w:r>
      <w:r>
        <w:rPr>
          <w:rStyle w:val="14"/>
          <w:rFonts w:hint="eastAsia" w:ascii="仿宋" w:hAnsi="仿宋" w:eastAsia="仿宋" w:cs="仿宋"/>
          <w:color w:val="000000"/>
          <w:sz w:val="32"/>
          <w:szCs w:val="32"/>
          <w:lang w:val="en-US" w:eastAsia="zh-CN"/>
        </w:rPr>
        <w:t>4</w:t>
      </w:r>
      <w:r>
        <w:rPr>
          <w:rStyle w:val="14"/>
          <w:rFonts w:hint="eastAsia" w:ascii="仿宋" w:hAnsi="仿宋" w:eastAsia="仿宋" w:cs="仿宋"/>
          <w:color w:val="000000"/>
          <w:sz w:val="32"/>
          <w:szCs w:val="32"/>
        </w:rPr>
        <w:t>年</w:t>
      </w:r>
      <w:r>
        <w:rPr>
          <w:rStyle w:val="14"/>
          <w:rFonts w:hint="eastAsia" w:ascii="仿宋" w:hAnsi="仿宋" w:eastAsia="仿宋" w:cs="仿宋"/>
          <w:color w:val="000000"/>
          <w:sz w:val="32"/>
          <w:szCs w:val="32"/>
          <w:lang w:val="en-US" w:eastAsia="zh-CN"/>
        </w:rPr>
        <w:t>8</w:t>
      </w:r>
      <w:r>
        <w:rPr>
          <w:rStyle w:val="14"/>
          <w:rFonts w:hint="eastAsia" w:ascii="仿宋" w:hAnsi="仿宋" w:eastAsia="仿宋" w:cs="仿宋"/>
          <w:color w:val="000000"/>
          <w:sz w:val="32"/>
          <w:szCs w:val="32"/>
        </w:rPr>
        <w:t>月</w:t>
      </w:r>
      <w:r>
        <w:rPr>
          <w:rStyle w:val="14"/>
          <w:rFonts w:hint="eastAsia" w:ascii="仿宋" w:hAnsi="仿宋" w:eastAsia="仿宋" w:cs="仿宋"/>
          <w:color w:val="000000"/>
          <w:sz w:val="32"/>
          <w:szCs w:val="32"/>
          <w:lang w:val="en-US" w:eastAsia="zh-CN"/>
        </w:rPr>
        <w:t>2—4日（周五-周日）</w:t>
      </w:r>
      <w:r>
        <w:rPr>
          <w:rStyle w:val="14"/>
          <w:rFonts w:hint="eastAsia" w:ascii="仿宋" w:hAnsi="仿宋" w:eastAsia="仿宋" w:cs="仿宋"/>
          <w:color w:val="000000"/>
          <w:sz w:val="32"/>
          <w:szCs w:val="32"/>
        </w:rPr>
        <w:t xml:space="preserve"> </w:t>
      </w:r>
    </w:p>
    <w:p>
      <w:pPr>
        <w:ind w:firstLine="320" w:firstLineChars="100"/>
        <w:rPr>
          <w:rFonts w:hint="default" w:ascii="仿宋" w:hAnsi="仿宋" w:eastAsia="仿宋" w:cs="仿宋"/>
          <w:sz w:val="32"/>
          <w:szCs w:val="32"/>
          <w:lang w:val="en-US" w:eastAsia="zh-CN"/>
        </w:rPr>
      </w:pPr>
      <w:r>
        <w:rPr>
          <w:rFonts w:hint="eastAsia" w:ascii="仿宋" w:hAnsi="仿宋" w:eastAsia="仿宋" w:cs="仿宋"/>
          <w:sz w:val="32"/>
          <w:szCs w:val="32"/>
          <w:lang w:eastAsia="zh-CN"/>
        </w:rPr>
        <w:t>（四）</w:t>
      </w:r>
      <w:r>
        <w:rPr>
          <w:rFonts w:hint="eastAsia" w:ascii="仿宋" w:hAnsi="仿宋" w:eastAsia="仿宋" w:cs="仿宋"/>
          <w:sz w:val="32"/>
          <w:szCs w:val="32"/>
        </w:rPr>
        <w:t>地点：中铁·</w:t>
      </w:r>
      <w:r>
        <w:rPr>
          <w:rFonts w:hint="eastAsia" w:ascii="仿宋" w:hAnsi="仿宋" w:eastAsia="仿宋" w:cs="仿宋"/>
          <w:sz w:val="32"/>
          <w:szCs w:val="32"/>
          <w:lang w:val="en-US" w:eastAsia="zh-CN"/>
        </w:rPr>
        <w:t>长春东北亚国际博览中心</w:t>
      </w:r>
    </w:p>
    <w:p>
      <w:p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（五）</w:t>
      </w:r>
      <w:r>
        <w:rPr>
          <w:rFonts w:hint="eastAsia" w:ascii="仿宋" w:hAnsi="仿宋" w:eastAsia="仿宋" w:cs="仿宋"/>
          <w:sz w:val="32"/>
          <w:szCs w:val="32"/>
        </w:rPr>
        <w:t>规模：</w:t>
      </w:r>
      <w:r>
        <w:rPr>
          <w:rStyle w:val="14"/>
          <w:rFonts w:hint="eastAsia" w:ascii="仿宋" w:hAnsi="仿宋" w:eastAsia="仿宋" w:cs="仿宋"/>
          <w:color w:val="000000"/>
          <w:sz w:val="32"/>
          <w:szCs w:val="32"/>
          <w:lang w:val="en-US" w:eastAsia="zh-CN"/>
        </w:rPr>
        <w:t>4万平方米</w:t>
      </w:r>
    </w:p>
    <w:p>
      <w:pPr>
        <w:shd w:val="clear" w:color="auto" w:fill="FFFFFF"/>
        <w:spacing w:line="600" w:lineRule="exact"/>
        <w:ind w:firstLine="643" w:firstLineChars="200"/>
        <w:outlineLvl w:val="0"/>
        <w:rPr>
          <w:rStyle w:val="14"/>
          <w:rFonts w:hint="eastAsia" w:ascii="黑体" w:hAnsi="黑体" w:eastAsia="黑体" w:cs="黑体"/>
          <w:b/>
          <w:bCs/>
          <w:color w:val="2E75B6" w:themeColor="accent1" w:themeShade="BF"/>
          <w:kern w:val="36"/>
          <w:sz w:val="32"/>
          <w:szCs w:val="32"/>
          <w:u w:val="none"/>
          <w:lang w:eastAsia="zh-CN"/>
        </w:rPr>
      </w:pPr>
      <w:r>
        <w:rPr>
          <w:rStyle w:val="14"/>
          <w:rFonts w:hint="eastAsia" w:ascii="黑体" w:hAnsi="黑体" w:eastAsia="黑体" w:cs="黑体"/>
          <w:b/>
          <w:bCs/>
          <w:color w:val="2E75B6" w:themeColor="accent1" w:themeShade="BF"/>
          <w:kern w:val="36"/>
          <w:sz w:val="32"/>
          <w:szCs w:val="32"/>
          <w:u w:val="none"/>
          <w:lang w:val="en-US" w:eastAsia="zh-CN"/>
        </w:rPr>
        <w:t>二</w:t>
      </w:r>
      <w:r>
        <w:rPr>
          <w:rStyle w:val="14"/>
          <w:rFonts w:hint="eastAsia" w:ascii="黑体" w:hAnsi="黑体" w:eastAsia="黑体" w:cs="黑体"/>
          <w:b/>
          <w:bCs/>
          <w:color w:val="2E75B6" w:themeColor="accent1" w:themeShade="BF"/>
          <w:kern w:val="36"/>
          <w:sz w:val="32"/>
          <w:szCs w:val="32"/>
          <w:u w:val="none"/>
        </w:rPr>
        <w:t>、组织</w:t>
      </w:r>
      <w:r>
        <w:rPr>
          <w:rStyle w:val="14"/>
          <w:rFonts w:hint="eastAsia" w:ascii="黑体" w:hAnsi="黑体" w:eastAsia="黑体" w:cs="黑体"/>
          <w:b/>
          <w:bCs/>
          <w:color w:val="2E75B6" w:themeColor="accent1" w:themeShade="BF"/>
          <w:kern w:val="36"/>
          <w:sz w:val="32"/>
          <w:szCs w:val="32"/>
          <w:u w:val="none"/>
          <w:lang w:eastAsia="zh-CN"/>
        </w:rPr>
        <w:t>机构（拟定）</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支持单位：吉林省住房和城乡建设厅</w:t>
      </w:r>
    </w:p>
    <w:p>
      <w:pPr>
        <w:pStyle w:val="2"/>
        <w:ind w:firstLine="2240" w:firstLineChars="700"/>
        <w:rPr>
          <w:rFonts w:hint="default"/>
          <w:lang w:val="en-US" w:eastAsia="zh-CN"/>
        </w:rPr>
      </w:pPr>
      <w:r>
        <w:rPr>
          <w:rFonts w:hint="eastAsia" w:ascii="仿宋" w:hAnsi="仿宋" w:eastAsia="仿宋" w:cs="仿宋"/>
          <w:sz w:val="32"/>
          <w:szCs w:val="32"/>
          <w:lang w:eastAsia="zh-CN"/>
        </w:rPr>
        <w:t>长春市城乡建设委员会</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主办单位</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吉林省建筑业协会</w:t>
      </w:r>
    </w:p>
    <w:p>
      <w:pPr>
        <w:pStyle w:val="2"/>
        <w:rPr>
          <w:rFonts w:hint="default"/>
          <w:lang w:val="en-US" w:eastAsia="zh-CN"/>
        </w:rPr>
      </w:pPr>
      <w:r>
        <w:rPr>
          <w:rFonts w:hint="eastAsia" w:ascii="仿宋" w:hAnsi="仿宋" w:eastAsia="仿宋" w:cs="仿宋"/>
          <w:sz w:val="32"/>
          <w:szCs w:val="32"/>
          <w:lang w:val="en-US" w:eastAsia="zh-CN"/>
        </w:rPr>
        <w:t xml:space="preserve">          长春市建筑业协会</w:t>
      </w:r>
    </w:p>
    <w:p>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协办单位：</w:t>
      </w:r>
      <w:r>
        <w:rPr>
          <w:rFonts w:hint="eastAsia" w:ascii="仿宋" w:hAnsi="仿宋" w:eastAsia="仿宋" w:cs="仿宋"/>
          <w:sz w:val="32"/>
          <w:szCs w:val="32"/>
          <w:lang w:eastAsia="zh-CN"/>
        </w:rPr>
        <w:t>吉林省供热协会</w:t>
      </w:r>
    </w:p>
    <w:p>
      <w:pPr>
        <w:numPr>
          <w:ilvl w:val="0"/>
          <w:numId w:val="0"/>
        </w:numPr>
        <w:ind w:firstLine="2240" w:firstLineChars="700"/>
        <w:rPr>
          <w:rFonts w:hint="eastAsia" w:ascii="仿宋" w:hAnsi="仿宋" w:eastAsia="仿宋" w:cs="仿宋"/>
          <w:sz w:val="32"/>
          <w:szCs w:val="32"/>
          <w:lang w:eastAsia="zh-CN"/>
        </w:rPr>
      </w:pPr>
      <w:r>
        <w:rPr>
          <w:rFonts w:hint="eastAsia" w:ascii="仿宋" w:hAnsi="仿宋" w:eastAsia="仿宋" w:cs="仿宋"/>
          <w:sz w:val="32"/>
          <w:szCs w:val="32"/>
        </w:rPr>
        <w:t>长春市装配式建筑产业协会</w:t>
      </w:r>
    </w:p>
    <w:p>
      <w:pPr>
        <w:bidi w:val="0"/>
        <w:ind w:firstLine="2240" w:firstLineChars="700"/>
        <w:rPr>
          <w:rFonts w:hint="eastAsia" w:ascii="仿宋" w:hAnsi="仿宋" w:eastAsia="仿宋" w:cs="仿宋"/>
          <w:sz w:val="32"/>
          <w:szCs w:val="32"/>
          <w:lang w:eastAsia="zh-CN"/>
        </w:rPr>
      </w:pPr>
      <w:r>
        <w:rPr>
          <w:rFonts w:hint="eastAsia" w:ascii="仿宋" w:hAnsi="仿宋" w:eastAsia="仿宋" w:cs="仿宋"/>
          <w:sz w:val="32"/>
          <w:szCs w:val="32"/>
          <w:lang w:eastAsia="zh-CN"/>
        </w:rPr>
        <w:t>长春市绿色建材与建筑产业现代化协会</w:t>
      </w:r>
    </w:p>
    <w:p>
      <w:pPr>
        <w:pStyle w:val="2"/>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长春市建筑勘察设计协会</w:t>
      </w:r>
    </w:p>
    <w:p>
      <w:pPr>
        <w:pStyle w:val="2"/>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长春市建设工程造价管理协会</w:t>
      </w:r>
    </w:p>
    <w:p>
      <w:pPr>
        <w:numPr>
          <w:ilvl w:val="0"/>
          <w:numId w:val="0"/>
        </w:numPr>
        <w:bidi w:val="0"/>
        <w:ind w:firstLine="2240" w:firstLineChars="700"/>
        <w:rPr>
          <w:rFonts w:hint="eastAsia" w:ascii="仿宋" w:hAnsi="仿宋" w:eastAsia="仿宋" w:cs="仿宋"/>
          <w:sz w:val="32"/>
          <w:szCs w:val="32"/>
          <w:lang w:eastAsia="zh-CN"/>
        </w:rPr>
      </w:pPr>
      <w:r>
        <w:rPr>
          <w:rFonts w:hint="eastAsia" w:ascii="仿宋" w:hAnsi="仿宋" w:eastAsia="仿宋" w:cs="仿宋"/>
          <w:sz w:val="32"/>
          <w:szCs w:val="32"/>
          <w:lang w:val="en-US" w:eastAsia="zh-CN"/>
        </w:rPr>
        <w:t>吉林省照明协会</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承办单位：吉林省大唐博亚会议展览有限公司</w:t>
      </w:r>
    </w:p>
    <w:p>
      <w:pPr>
        <w:numPr>
          <w:ilvl w:val="0"/>
          <w:numId w:val="0"/>
        </w:numPr>
        <w:bidi w:val="0"/>
        <w:ind w:firstLine="643" w:firstLineChars="200"/>
        <w:rPr>
          <w:rStyle w:val="14"/>
          <w:rFonts w:hint="eastAsia" w:ascii="黑体" w:hAnsi="黑体" w:eastAsia="黑体" w:cs="黑体"/>
          <w:b/>
          <w:bCs/>
          <w:color w:val="2E75B6" w:themeColor="accent1" w:themeShade="BF"/>
          <w:kern w:val="36"/>
          <w:sz w:val="32"/>
          <w:szCs w:val="32"/>
          <w:lang w:eastAsia="zh-CN"/>
        </w:rPr>
      </w:pPr>
      <w:r>
        <w:rPr>
          <w:rStyle w:val="14"/>
          <w:rFonts w:hint="eastAsia" w:ascii="黑体" w:hAnsi="黑体" w:eastAsia="黑体" w:cs="黑体"/>
          <w:b/>
          <w:bCs/>
          <w:color w:val="2E75B6" w:themeColor="accent1" w:themeShade="BF"/>
          <w:kern w:val="36"/>
          <w:sz w:val="32"/>
          <w:szCs w:val="32"/>
          <w:lang w:val="en-US" w:eastAsia="zh-CN"/>
        </w:rPr>
        <w:t>三、</w:t>
      </w:r>
      <w:r>
        <w:rPr>
          <w:rStyle w:val="14"/>
          <w:rFonts w:hint="eastAsia" w:ascii="黑体" w:hAnsi="黑体" w:eastAsia="黑体" w:cs="黑体"/>
          <w:b/>
          <w:bCs/>
          <w:color w:val="2E75B6" w:themeColor="accent1" w:themeShade="BF"/>
          <w:kern w:val="36"/>
          <w:sz w:val="32"/>
          <w:szCs w:val="32"/>
          <w:lang w:eastAsia="zh-CN"/>
        </w:rPr>
        <w:t>展览布局</w:t>
      </w:r>
    </w:p>
    <w:p>
      <w:pPr>
        <w:pStyle w:val="6"/>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十大展区、七大配套活动。</w:t>
      </w:r>
    </w:p>
    <w:p>
      <w:pPr>
        <w:pStyle w:val="6"/>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建筑企业及建筑成果展区</w:t>
      </w:r>
    </w:p>
    <w:p>
      <w:pPr>
        <w:pStyle w:val="6"/>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勘察设计及建筑新技术展区</w:t>
      </w:r>
    </w:p>
    <w:p>
      <w:pPr>
        <w:pStyle w:val="6"/>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智慧建筑及智能建造展区</w:t>
      </w:r>
      <w:r>
        <w:rPr>
          <w:rFonts w:hint="eastAsia" w:ascii="仿宋" w:hAnsi="仿宋" w:eastAsia="仿宋" w:cs="仿宋"/>
          <w:color w:val="auto"/>
          <w:sz w:val="32"/>
          <w:szCs w:val="32"/>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装配式建筑及相关部件展区</w:t>
      </w:r>
    </w:p>
    <w:p>
      <w:pPr>
        <w:pStyle w:val="6"/>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绿色建材及新型建材展区</w:t>
      </w:r>
      <w:r>
        <w:rPr>
          <w:rFonts w:hint="eastAsia" w:ascii="仿宋" w:hAnsi="仿宋" w:eastAsia="仿宋" w:cs="仿宋"/>
          <w:color w:val="auto"/>
          <w:sz w:val="32"/>
          <w:szCs w:val="32"/>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节能门窗展区</w:t>
      </w:r>
    </w:p>
    <w:p>
      <w:pPr>
        <w:pStyle w:val="6"/>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全屋整装及智能家居展区</w:t>
      </w:r>
      <w:r>
        <w:rPr>
          <w:rFonts w:hint="eastAsia" w:ascii="仿宋" w:hAnsi="仿宋" w:eastAsia="仿宋" w:cs="仿宋"/>
          <w:color w:val="auto"/>
          <w:sz w:val="32"/>
          <w:szCs w:val="32"/>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供热锅炉及相关管材展区</w:t>
      </w:r>
    </w:p>
    <w:p>
      <w:pPr>
        <w:pStyle w:val="6"/>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清洁能源及相关设备展区</w:t>
      </w:r>
      <w:r>
        <w:rPr>
          <w:rFonts w:hint="eastAsia" w:ascii="仿宋" w:hAnsi="仿宋" w:eastAsia="仿宋" w:cs="仿宋"/>
          <w:color w:val="auto"/>
          <w:sz w:val="32"/>
          <w:szCs w:val="32"/>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工程机械及安全设备展区           </w:t>
      </w:r>
    </w:p>
    <w:p>
      <w:pPr>
        <w:numPr>
          <w:ilvl w:val="0"/>
          <w:numId w:val="0"/>
        </w:numPr>
        <w:bidi w:val="0"/>
        <w:ind w:firstLine="643" w:firstLineChars="200"/>
        <w:rPr>
          <w:rFonts w:hint="eastAsia" w:ascii="黑体" w:hAnsi="黑体" w:eastAsia="黑体" w:cs="黑体"/>
          <w:b/>
          <w:bCs/>
          <w:color w:val="2E75B6" w:themeColor="accent1" w:themeShade="BF"/>
          <w:sz w:val="32"/>
          <w:szCs w:val="32"/>
        </w:rPr>
      </w:pPr>
      <w:r>
        <w:rPr>
          <w:rStyle w:val="14"/>
          <w:rFonts w:hint="eastAsia" w:ascii="黑体" w:hAnsi="黑体" w:eastAsia="黑体" w:cs="黑体"/>
          <w:b/>
          <w:bCs/>
          <w:color w:val="2E75B6" w:themeColor="accent1" w:themeShade="BF"/>
          <w:kern w:val="36"/>
          <w:sz w:val="32"/>
          <w:szCs w:val="32"/>
          <w:lang w:eastAsia="zh-CN"/>
        </w:rPr>
        <w:t>四、展览内容</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321" w:firstLineChars="1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kern w:val="2"/>
          <w:sz w:val="32"/>
          <w:szCs w:val="32"/>
          <w:lang w:val="en-US" w:eastAsia="zh-CN" w:bidi="ar-SA"/>
        </w:rPr>
        <w:t>建筑企业及建筑成果展区</w:t>
      </w:r>
    </w:p>
    <w:p>
      <w:pPr>
        <w:numPr>
          <w:ilvl w:val="0"/>
          <w:numId w:val="0"/>
        </w:numPr>
        <w:bidi w:val="0"/>
        <w:ind w:firstLine="640" w:firstLineChars="200"/>
        <w:rPr>
          <w:rStyle w:val="14"/>
          <w:rFonts w:hint="eastAsia" w:ascii="仿宋" w:hAnsi="仿宋" w:eastAsia="仿宋" w:cs="仿宋"/>
          <w:b w:val="0"/>
          <w:bCs w:val="0"/>
          <w:color w:val="000000"/>
          <w:kern w:val="36"/>
          <w:sz w:val="32"/>
          <w:szCs w:val="32"/>
          <w:lang w:val="en-US" w:eastAsia="zh-CN"/>
        </w:rPr>
      </w:pPr>
      <w:r>
        <w:rPr>
          <w:rStyle w:val="14"/>
          <w:rFonts w:hint="eastAsia" w:ascii="仿宋" w:hAnsi="仿宋" w:eastAsia="仿宋" w:cs="仿宋"/>
          <w:b w:val="0"/>
          <w:bCs w:val="0"/>
          <w:color w:val="000000"/>
          <w:kern w:val="36"/>
          <w:sz w:val="32"/>
          <w:szCs w:val="32"/>
          <w:lang w:val="en-US" w:eastAsia="zh-CN"/>
        </w:rPr>
        <w:t>重点建设项目单位，龙头建筑企业；</w:t>
      </w:r>
      <w:r>
        <w:rPr>
          <w:rFonts w:hint="eastAsia" w:ascii="仿宋" w:hAnsi="仿宋" w:eastAsia="仿宋" w:cs="仿宋"/>
          <w:color w:val="auto"/>
          <w:kern w:val="2"/>
          <w:sz w:val="32"/>
          <w:szCs w:val="32"/>
          <w:lang w:val="en-US" w:eastAsia="zh-CN" w:bidi="ar-SA"/>
        </w:rPr>
        <w:t>央企、国企及省内知名建筑企业、各大工程施工单位、市属各公共城市建设单位等</w:t>
      </w:r>
      <w:r>
        <w:rPr>
          <w:rFonts w:hint="eastAsia" w:ascii="仿宋" w:hAnsi="仿宋" w:cs="仿宋"/>
          <w:color w:val="auto"/>
          <w:kern w:val="2"/>
          <w:sz w:val="32"/>
          <w:szCs w:val="32"/>
          <w:lang w:val="en-US" w:eastAsia="zh-CN" w:bidi="ar-SA"/>
        </w:rPr>
        <w:t>，</w:t>
      </w:r>
      <w:r>
        <w:rPr>
          <w:rFonts w:hint="eastAsia" w:ascii="仿宋" w:hAnsi="仿宋" w:eastAsia="仿宋" w:cs="仿宋"/>
          <w:color w:val="auto"/>
          <w:kern w:val="2"/>
          <w:sz w:val="32"/>
          <w:szCs w:val="32"/>
          <w:lang w:val="en-US" w:eastAsia="zh-CN" w:bidi="ar-SA"/>
        </w:rPr>
        <w:t>集中展示重点项目及建筑成果</w:t>
      </w:r>
      <w:r>
        <w:rPr>
          <w:rFonts w:hint="eastAsia" w:ascii="仿宋" w:hAnsi="仿宋" w:cs="仿宋"/>
          <w:color w:val="auto"/>
          <w:kern w:val="2"/>
          <w:sz w:val="32"/>
          <w:szCs w:val="32"/>
          <w:lang w:val="en-US" w:eastAsia="zh-CN" w:bidi="ar-SA"/>
        </w:rPr>
        <w:t>。</w:t>
      </w:r>
    </w:p>
    <w:p>
      <w:pPr>
        <w:numPr>
          <w:ilvl w:val="0"/>
          <w:numId w:val="0"/>
        </w:numPr>
        <w:bidi w:val="0"/>
        <w:ind w:firstLine="321" w:firstLineChars="100"/>
        <w:rPr>
          <w:rStyle w:val="14"/>
          <w:rFonts w:hint="eastAsia" w:ascii="仿宋" w:hAnsi="仿宋" w:eastAsia="仿宋" w:cs="仿宋"/>
          <w:b/>
          <w:bCs/>
          <w:color w:val="000000"/>
          <w:kern w:val="36"/>
          <w:sz w:val="32"/>
          <w:szCs w:val="32"/>
          <w:lang w:val="en-US" w:eastAsia="zh-CN"/>
        </w:rPr>
      </w:pPr>
      <w:r>
        <w:rPr>
          <w:rStyle w:val="14"/>
          <w:rFonts w:hint="eastAsia" w:ascii="仿宋" w:hAnsi="仿宋" w:eastAsia="仿宋" w:cs="仿宋"/>
          <w:b/>
          <w:bCs/>
          <w:color w:val="000000"/>
          <w:kern w:val="36"/>
          <w:sz w:val="32"/>
          <w:szCs w:val="32"/>
          <w:lang w:val="en-US" w:eastAsia="zh-CN"/>
        </w:rPr>
        <w:t>（二）勘察设计及建筑新技术展区</w:t>
      </w:r>
    </w:p>
    <w:p>
      <w:pPr>
        <w:bidi w:val="0"/>
        <w:ind w:firstLine="640" w:firstLineChars="200"/>
        <w:rPr>
          <w:rStyle w:val="14"/>
          <w:rFonts w:hint="eastAsia" w:ascii="仿宋" w:hAnsi="仿宋" w:eastAsia="仿宋" w:cs="仿宋"/>
          <w:b w:val="0"/>
          <w:bCs w:val="0"/>
          <w:color w:val="000000"/>
          <w:kern w:val="36"/>
          <w:sz w:val="32"/>
          <w:szCs w:val="32"/>
          <w:lang w:val="en-US" w:eastAsia="zh-CN"/>
        </w:rPr>
      </w:pPr>
      <w:r>
        <w:rPr>
          <w:rStyle w:val="14"/>
          <w:rFonts w:hint="eastAsia" w:ascii="仿宋" w:hAnsi="仿宋" w:eastAsia="仿宋" w:cs="仿宋"/>
          <w:b w:val="0"/>
          <w:bCs w:val="0"/>
          <w:color w:val="000000"/>
          <w:kern w:val="36"/>
          <w:sz w:val="32"/>
          <w:szCs w:val="32"/>
          <w:lang w:val="en-US" w:eastAsia="zh-CN"/>
        </w:rPr>
        <w:t>国内各大勘察设计院、工程技术研究院、设计院、建筑类高校等；</w:t>
      </w:r>
      <w:r>
        <w:rPr>
          <w:rFonts w:hint="eastAsia" w:ascii="仿宋" w:hAnsi="仿宋" w:eastAsia="仿宋" w:cs="仿宋"/>
          <w:sz w:val="32"/>
          <w:szCs w:val="32"/>
          <w:lang w:val="en-US" w:eastAsia="zh-CN"/>
        </w:rPr>
        <w:t>新技术</w:t>
      </w:r>
      <w:r>
        <w:rPr>
          <w:rFonts w:hint="eastAsia" w:ascii="仿宋" w:hAnsi="仿宋" w:eastAsia="仿宋" w:cs="仿宋"/>
          <w:b w:val="0"/>
          <w:bCs w:val="0"/>
          <w:color w:val="auto"/>
          <w:kern w:val="2"/>
          <w:sz w:val="32"/>
          <w:szCs w:val="32"/>
          <w:lang w:val="en-US" w:eastAsia="zh-CN" w:bidi="ar-SA"/>
        </w:rPr>
        <w:t>、</w:t>
      </w:r>
      <w:r>
        <w:rPr>
          <w:rFonts w:hint="eastAsia" w:ascii="仿宋" w:hAnsi="仿宋" w:eastAsia="仿宋" w:cs="仿宋"/>
          <w:sz w:val="32"/>
          <w:szCs w:val="32"/>
          <w:lang w:val="en-US" w:eastAsia="zh-CN"/>
        </w:rPr>
        <w:t>新工艺</w:t>
      </w:r>
      <w:r>
        <w:rPr>
          <w:rFonts w:hint="eastAsia" w:ascii="仿宋" w:hAnsi="仿宋" w:eastAsia="仿宋" w:cs="仿宋"/>
          <w:b w:val="0"/>
          <w:bCs w:val="0"/>
          <w:color w:val="auto"/>
          <w:kern w:val="2"/>
          <w:sz w:val="32"/>
          <w:szCs w:val="32"/>
          <w:lang w:val="en-US" w:eastAsia="zh-CN" w:bidi="ar-SA"/>
        </w:rPr>
        <w:t>、</w:t>
      </w:r>
      <w:r>
        <w:rPr>
          <w:rFonts w:hint="eastAsia" w:ascii="仿宋" w:hAnsi="仿宋" w:eastAsia="仿宋" w:cs="仿宋"/>
          <w:sz w:val="32"/>
          <w:szCs w:val="32"/>
          <w:lang w:val="en-US" w:eastAsia="zh-CN"/>
        </w:rPr>
        <w:t>工程技术专利</w:t>
      </w:r>
      <w:r>
        <w:rPr>
          <w:rFonts w:hint="eastAsia" w:ascii="仿宋" w:hAnsi="仿宋" w:eastAsia="仿宋" w:cs="仿宋"/>
          <w:b w:val="0"/>
          <w:bCs w:val="0"/>
          <w:color w:val="auto"/>
          <w:kern w:val="2"/>
          <w:sz w:val="32"/>
          <w:szCs w:val="32"/>
          <w:lang w:val="en-US" w:eastAsia="zh-CN" w:bidi="ar-SA"/>
        </w:rPr>
        <w:t>、</w:t>
      </w:r>
      <w:r>
        <w:rPr>
          <w:rFonts w:hint="eastAsia" w:ascii="仿宋" w:hAnsi="仿宋" w:eastAsia="仿宋" w:cs="仿宋"/>
          <w:sz w:val="32"/>
          <w:szCs w:val="32"/>
          <w:lang w:val="en-US" w:eastAsia="zh-CN"/>
        </w:rPr>
        <w:t>设计专利</w:t>
      </w:r>
      <w:r>
        <w:rPr>
          <w:rFonts w:hint="eastAsia" w:ascii="仿宋" w:hAnsi="仿宋" w:eastAsia="仿宋" w:cs="仿宋"/>
          <w:b w:val="0"/>
          <w:bCs w:val="0"/>
          <w:color w:val="auto"/>
          <w:kern w:val="2"/>
          <w:sz w:val="32"/>
          <w:szCs w:val="32"/>
          <w:lang w:val="en-US" w:eastAsia="zh-CN" w:bidi="ar-SA"/>
        </w:rPr>
        <w:t>、</w:t>
      </w:r>
      <w:r>
        <w:rPr>
          <w:rFonts w:hint="eastAsia" w:ascii="仿宋" w:hAnsi="仿宋" w:eastAsia="仿宋" w:cs="仿宋"/>
          <w:sz w:val="32"/>
          <w:szCs w:val="32"/>
          <w:lang w:val="en-US" w:eastAsia="zh-CN"/>
        </w:rPr>
        <w:t xml:space="preserve">隔震橡胶支座、健康检测隔震支座、建筑摩擦摆支座、粘滞阻尼器、屈曲约束支撑（BRB）等。 </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321" w:firstLineChars="1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（三）智能建造及智慧建筑展区</w:t>
      </w:r>
    </w:p>
    <w:p>
      <w:pPr>
        <w:bidi w:val="0"/>
        <w:ind w:firstLine="320" w:firstLineChars="1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1、智慧城市建筑平台、运营机构等，</w:t>
      </w:r>
      <w:r>
        <w:rPr>
          <w:rFonts w:hint="eastAsia" w:ascii="仿宋" w:hAnsi="仿宋" w:eastAsia="仿宋" w:cs="仿宋"/>
          <w:sz w:val="32"/>
          <w:szCs w:val="32"/>
          <w:lang w:eastAsia="zh-CN"/>
        </w:rPr>
        <w:t>智慧工地、物联网、大数据、</w:t>
      </w:r>
      <w:r>
        <w:rPr>
          <w:rFonts w:hint="eastAsia" w:ascii="仿宋" w:hAnsi="仿宋" w:eastAsia="仿宋" w:cs="仿宋"/>
          <w:sz w:val="32"/>
          <w:szCs w:val="32"/>
          <w:lang w:val="en-US" w:eastAsia="zh-CN"/>
        </w:rPr>
        <w:t>BIM等；</w:t>
      </w:r>
    </w:p>
    <w:p>
      <w:pPr>
        <w:bidi w:val="0"/>
        <w:ind w:firstLine="320" w:firstLineChars="100"/>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rPr>
        <w:t>智慧建筑</w:t>
      </w:r>
      <w:r>
        <w:rPr>
          <w:rFonts w:hint="eastAsia" w:ascii="仿宋" w:hAnsi="仿宋" w:eastAsia="仿宋" w:cs="仿宋"/>
          <w:sz w:val="32"/>
          <w:szCs w:val="32"/>
          <w:lang w:eastAsia="zh-CN"/>
        </w:rPr>
        <w:t>、</w:t>
      </w:r>
      <w:r>
        <w:rPr>
          <w:rFonts w:hint="eastAsia" w:ascii="仿宋" w:hAnsi="仿宋" w:eastAsia="仿宋" w:cs="仿宋"/>
          <w:sz w:val="32"/>
          <w:szCs w:val="32"/>
        </w:rPr>
        <w:t>智能楼宇、智能照明、智能遮阳、智能门窗、暖通空调控制、新风系统</w:t>
      </w:r>
      <w:r>
        <w:rPr>
          <w:rFonts w:hint="eastAsia" w:ascii="仿宋" w:hAnsi="仿宋" w:eastAsia="仿宋" w:cs="仿宋"/>
          <w:sz w:val="32"/>
          <w:szCs w:val="32"/>
          <w:lang w:eastAsia="zh-CN"/>
        </w:rPr>
        <w:t>、</w:t>
      </w:r>
      <w:r>
        <w:rPr>
          <w:rFonts w:hint="eastAsia" w:ascii="仿宋" w:hAnsi="仿宋" w:eastAsia="仿宋" w:cs="仿宋"/>
          <w:sz w:val="32"/>
          <w:szCs w:val="32"/>
        </w:rPr>
        <w:t>智能型火灾自动报警控制系统、建筑电气智能化等</w:t>
      </w:r>
      <w:r>
        <w:rPr>
          <w:rFonts w:hint="eastAsia" w:ascii="仿宋" w:hAnsi="仿宋" w:eastAsia="仿宋" w:cs="仿宋"/>
          <w:sz w:val="32"/>
          <w:szCs w:val="32"/>
          <w:lang w:eastAsia="zh-CN"/>
        </w:rPr>
        <w:t>；</w:t>
      </w:r>
    </w:p>
    <w:p>
      <w:pPr>
        <w:bidi w:val="0"/>
        <w:ind w:firstLine="320" w:firstLineChars="1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eastAsia="zh-CN"/>
        </w:rPr>
        <w:t>智能制造、工业机器人、建筑机器人、智能化工程机械、</w:t>
      </w:r>
      <w:r>
        <w:rPr>
          <w:rFonts w:hint="eastAsia" w:ascii="仿宋" w:hAnsi="仿宋" w:eastAsia="仿宋" w:cs="仿宋"/>
          <w:b w:val="0"/>
          <w:bCs w:val="0"/>
          <w:sz w:val="32"/>
          <w:szCs w:val="32"/>
          <w:lang w:val="en-US" w:eastAsia="zh-CN"/>
        </w:rPr>
        <w:t xml:space="preserve">3D打印、建筑产业互联网平台。 </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321" w:firstLineChars="1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（四）装配式建筑及相关部件</w:t>
      </w:r>
    </w:p>
    <w:p>
      <w:pPr>
        <w:bidi w:val="0"/>
        <w:ind w:firstLine="640"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PC混凝土预制件设备</w:t>
      </w:r>
      <w:r>
        <w:rPr>
          <w:rFonts w:hint="eastAsia" w:ascii="仿宋" w:hAnsi="仿宋" w:eastAsia="仿宋" w:cs="仿宋"/>
          <w:b w:val="0"/>
          <w:bCs w:val="0"/>
          <w:color w:val="auto"/>
          <w:kern w:val="2"/>
          <w:sz w:val="32"/>
          <w:szCs w:val="32"/>
          <w:lang w:val="en-US" w:eastAsia="zh-CN" w:bidi="ar-SA"/>
        </w:rPr>
        <w:t>、</w:t>
      </w:r>
      <w:r>
        <w:rPr>
          <w:rFonts w:hint="eastAsia" w:ascii="仿宋" w:hAnsi="仿宋" w:eastAsia="仿宋" w:cs="仿宋"/>
          <w:color w:val="auto"/>
          <w:kern w:val="2"/>
          <w:sz w:val="32"/>
          <w:szCs w:val="32"/>
          <w:lang w:val="en-US" w:eastAsia="zh-CN" w:bidi="ar-SA"/>
        </w:rPr>
        <w:t>钢结构施工、设计及相关配套产品；集成房屋、各种轻钢别墅、阳光房、新型保温棚、木结构建筑设计及相关产品设备。</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321" w:firstLineChars="1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（五）绿色建材及新型墙材</w:t>
      </w:r>
    </w:p>
    <w:p>
      <w:pPr>
        <w:pStyle w:val="6"/>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保温材料</w:t>
      </w:r>
      <w:r>
        <w:rPr>
          <w:rFonts w:hint="eastAsia" w:ascii="仿宋" w:hAnsi="仿宋" w:eastAsia="仿宋" w:cs="仿宋"/>
          <w:sz w:val="32"/>
          <w:szCs w:val="32"/>
          <w:lang w:eastAsia="zh-CN"/>
        </w:rPr>
        <w:t>、</w:t>
      </w:r>
      <w:r>
        <w:rPr>
          <w:rFonts w:hint="eastAsia" w:ascii="仿宋" w:hAnsi="仿宋" w:eastAsia="仿宋" w:cs="仿宋"/>
          <w:sz w:val="32"/>
          <w:szCs w:val="32"/>
        </w:rPr>
        <w:t>防水材料、</w:t>
      </w:r>
      <w:r>
        <w:rPr>
          <w:rFonts w:hint="eastAsia" w:ascii="仿宋" w:hAnsi="仿宋" w:eastAsia="仿宋" w:cs="仿宋"/>
          <w:sz w:val="32"/>
          <w:szCs w:val="32"/>
          <w:lang w:eastAsia="zh-CN"/>
        </w:rPr>
        <w:t>防火涂料、</w:t>
      </w:r>
      <w:r>
        <w:rPr>
          <w:rFonts w:hint="eastAsia" w:ascii="仿宋" w:hAnsi="仿宋" w:eastAsia="仿宋" w:cs="仿宋"/>
          <w:sz w:val="32"/>
          <w:szCs w:val="32"/>
        </w:rPr>
        <w:t>建筑涂料、防水保温一体化、干混砂浆、新型墙体材料、系统配件和辅助材料等。</w:t>
      </w:r>
    </w:p>
    <w:p>
      <w:pPr>
        <w:pStyle w:val="6"/>
        <w:numPr>
          <w:ilvl w:val="0"/>
          <w:numId w:val="1"/>
        </w:numPr>
        <w:bidi w:val="0"/>
        <w:ind w:firstLine="321" w:firstLineChars="100"/>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节能门窗展区</w:t>
      </w:r>
    </w:p>
    <w:p>
      <w:pPr>
        <w:pStyle w:val="6"/>
        <w:numPr>
          <w:ilvl w:val="0"/>
          <w:numId w:val="0"/>
        </w:numPr>
        <w:bidi w:val="0"/>
        <w:ind w:firstLine="640" w:firstLineChars="200"/>
        <w:rPr>
          <w:rFonts w:hint="eastAsia" w:ascii="仿宋" w:hAnsi="仿宋" w:eastAsia="仿宋" w:cs="仿宋"/>
          <w:b/>
          <w:bCs/>
          <w:color w:val="auto"/>
          <w:sz w:val="32"/>
          <w:szCs w:val="32"/>
          <w:lang w:eastAsia="zh-CN"/>
        </w:rPr>
      </w:pPr>
      <w:r>
        <w:rPr>
          <w:rFonts w:hint="eastAsia" w:ascii="仿宋" w:hAnsi="仿宋" w:eastAsia="仿宋" w:cs="仿宋"/>
          <w:sz w:val="32"/>
          <w:szCs w:val="32"/>
        </w:rPr>
        <w:t>纯木门窗、铝包木门窗、木铝复合门窗、</w:t>
      </w:r>
      <w:r>
        <w:rPr>
          <w:rFonts w:hint="eastAsia" w:ascii="仿宋" w:hAnsi="仿宋" w:eastAsia="仿宋" w:cs="仿宋"/>
          <w:color w:val="auto"/>
          <w:sz w:val="32"/>
          <w:szCs w:val="32"/>
        </w:rPr>
        <w:t>金属自动门、移门隔断、</w:t>
      </w:r>
      <w:r>
        <w:rPr>
          <w:rFonts w:hint="eastAsia" w:ascii="仿宋" w:hAnsi="仿宋" w:eastAsia="仿宋" w:cs="仿宋"/>
          <w:color w:val="auto"/>
          <w:sz w:val="32"/>
          <w:szCs w:val="32"/>
          <w:lang w:eastAsia="zh-CN"/>
        </w:rPr>
        <w:t>安全防盗门等</w:t>
      </w:r>
    </w:p>
    <w:p>
      <w:pPr>
        <w:pStyle w:val="6"/>
        <w:numPr>
          <w:ilvl w:val="0"/>
          <w:numId w:val="1"/>
        </w:numPr>
        <w:bidi w:val="0"/>
        <w:ind w:firstLine="321" w:firstLineChars="1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eastAsia="zh-CN"/>
        </w:rPr>
        <w:t>全屋整装及智能家居展区</w:t>
      </w:r>
    </w:p>
    <w:p>
      <w:pPr>
        <w:pStyle w:val="6"/>
        <w:numPr>
          <w:ilvl w:val="0"/>
          <w:numId w:val="0"/>
        </w:numPr>
        <w:bidi w:val="0"/>
        <w:ind w:firstLine="640" w:firstLineChars="200"/>
        <w:rPr>
          <w:rFonts w:hint="eastAsia" w:ascii="仿宋" w:hAnsi="仿宋" w:eastAsia="仿宋" w:cs="仿宋"/>
          <w:color w:val="FF0000"/>
          <w:sz w:val="32"/>
          <w:szCs w:val="32"/>
          <w:lang w:val="en-US" w:eastAsia="zh-CN"/>
        </w:rPr>
      </w:pPr>
      <w:r>
        <w:rPr>
          <w:rFonts w:hint="eastAsia" w:ascii="仿宋" w:hAnsi="仿宋" w:eastAsia="仿宋" w:cs="仿宋"/>
          <w:color w:val="auto"/>
          <w:sz w:val="32"/>
          <w:szCs w:val="32"/>
        </w:rPr>
        <w:t>全屋整装、智能家居、集成顶墙、新型建材、橱柜壁柜、集成电器、木工设备、</w:t>
      </w:r>
      <w:r>
        <w:rPr>
          <w:rFonts w:hint="eastAsia" w:ascii="仿宋" w:hAnsi="仿宋" w:eastAsia="仿宋" w:cs="仿宋"/>
          <w:color w:val="auto"/>
          <w:sz w:val="32"/>
          <w:szCs w:val="32"/>
          <w:lang w:eastAsia="zh-CN"/>
        </w:rPr>
        <w:t>各类内装</w:t>
      </w:r>
      <w:r>
        <w:rPr>
          <w:rFonts w:hint="eastAsia" w:ascii="仿宋" w:hAnsi="仿宋" w:eastAsia="仿宋" w:cs="仿宋"/>
          <w:color w:val="auto"/>
          <w:sz w:val="32"/>
          <w:szCs w:val="32"/>
        </w:rPr>
        <w:t>涂料、各类五金等</w:t>
      </w:r>
      <w:r>
        <w:rPr>
          <w:rFonts w:hint="eastAsia" w:ascii="仿宋" w:hAnsi="仿宋" w:eastAsia="仿宋" w:cs="仿宋"/>
          <w:color w:val="auto"/>
          <w:sz w:val="32"/>
          <w:szCs w:val="32"/>
          <w:lang w:eastAsia="zh-CN"/>
        </w:rPr>
        <w:t>内装</w:t>
      </w:r>
      <w:r>
        <w:rPr>
          <w:rFonts w:hint="eastAsia" w:ascii="仿宋" w:hAnsi="仿宋" w:eastAsia="仿宋" w:cs="仿宋"/>
          <w:color w:val="auto"/>
          <w:sz w:val="32"/>
          <w:szCs w:val="32"/>
        </w:rPr>
        <w:t>建材</w:t>
      </w:r>
      <w:r>
        <w:rPr>
          <w:rFonts w:hint="eastAsia" w:ascii="仿宋" w:hAnsi="仿宋" w:eastAsia="仿宋" w:cs="仿宋"/>
          <w:color w:val="auto"/>
          <w:sz w:val="32"/>
          <w:szCs w:val="32"/>
          <w:lang w:eastAsia="zh-CN"/>
        </w:rPr>
        <w:t>产品</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321" w:firstLineChars="1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（八）工程机械及安全设备</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640" w:firstLineChars="200"/>
        <w:jc w:val="both"/>
        <w:rPr>
          <w:rFonts w:hint="eastAsia"/>
          <w:lang w:val="en-US" w:eastAsia="zh-CN"/>
        </w:rPr>
      </w:pPr>
      <w:r>
        <w:rPr>
          <w:rFonts w:hint="eastAsia" w:ascii="仿宋" w:hAnsi="仿宋" w:eastAsia="仿宋" w:cs="仿宋"/>
          <w:i w:val="0"/>
          <w:caps w:val="0"/>
          <w:color w:val="000000"/>
          <w:spacing w:val="0"/>
          <w:kern w:val="2"/>
          <w:sz w:val="32"/>
          <w:szCs w:val="32"/>
          <w:lang w:val="en-US" w:eastAsia="zh-CN" w:bidi="ar-SA"/>
        </w:rPr>
        <w:t>塔吊、工程车、混凝土搅拌机、打桩机、平地机、工程起重机械、压实机械、钢筋及预应力机械，破碎设备、制沙设备、环保除尘设备、建筑垃圾制砖设备等。铝膜、木模、符合模板等建筑模板系统及配件、爬架、各类建筑脚手架及防护网、各种高空作业防护产品。</w:t>
      </w:r>
      <w:r>
        <w:rPr>
          <w:rFonts w:hint="eastAsia" w:ascii="仿宋" w:hAnsi="仿宋" w:eastAsia="仿宋" w:cs="仿宋"/>
          <w:color w:val="auto"/>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321" w:firstLineChars="100"/>
        <w:textAlignment w:val="auto"/>
        <w:rPr>
          <w:rFonts w:hint="eastAsia" w:ascii="仿宋_GB2312" w:hAnsi="仿宋_GB2312" w:eastAsia="仿宋_GB2312" w:cs="仿宋_GB2312"/>
          <w:color w:val="000000" w:themeColor="text1"/>
          <w:sz w:val="32"/>
          <w:szCs w:val="32"/>
          <w:shd w:val="clear" w:color="FFFFFF" w:fill="D9D9D9"/>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auto"/>
          <w:lang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shd w:val="clear" w:color="auto" w:fill="auto"/>
          <w14:textFill>
            <w14:solidFill>
              <w14:schemeClr w14:val="tx1"/>
            </w14:solidFill>
          </w14:textFill>
        </w:rPr>
        <w:t>清洁能源</w:t>
      </w:r>
      <w:r>
        <w:rPr>
          <w:rFonts w:hint="eastAsia" w:ascii="仿宋_GB2312" w:hAnsi="仿宋_GB2312" w:eastAsia="仿宋_GB2312" w:cs="仿宋_GB2312"/>
          <w:b/>
          <w:bCs/>
          <w:color w:val="000000" w:themeColor="text1"/>
          <w:sz w:val="32"/>
          <w:szCs w:val="32"/>
          <w:shd w:val="clear" w:color="auto" w:fill="auto"/>
          <w:lang w:eastAsia="zh-CN"/>
          <w14:textFill>
            <w14:solidFill>
              <w14:schemeClr w14:val="tx1"/>
            </w14:solidFill>
          </w14:textFill>
        </w:rPr>
        <w:t>及相关</w:t>
      </w:r>
      <w:r>
        <w:rPr>
          <w:rFonts w:hint="eastAsia" w:ascii="仿宋_GB2312" w:hAnsi="仿宋_GB2312" w:eastAsia="仿宋_GB2312" w:cs="仿宋_GB2312"/>
          <w:b/>
          <w:bCs/>
          <w:color w:val="000000" w:themeColor="text1"/>
          <w:sz w:val="32"/>
          <w:szCs w:val="32"/>
          <w:shd w:val="clear" w:color="auto" w:fill="auto"/>
          <w14:textFill>
            <w14:solidFill>
              <w14:schemeClr w14:val="tx1"/>
            </w14:solidFill>
          </w14:textFill>
        </w:rPr>
        <w:t>供暖</w:t>
      </w:r>
      <w:r>
        <w:rPr>
          <w:rFonts w:hint="eastAsia" w:ascii="仿宋_GB2312" w:hAnsi="仿宋_GB2312" w:eastAsia="仿宋_GB2312" w:cs="仿宋_GB2312"/>
          <w:b/>
          <w:bCs/>
          <w:color w:val="000000" w:themeColor="text1"/>
          <w:sz w:val="32"/>
          <w:szCs w:val="32"/>
          <w:shd w:val="clear" w:color="auto" w:fill="auto"/>
          <w:lang w:eastAsia="zh-CN"/>
          <w14:textFill>
            <w14:solidFill>
              <w14:schemeClr w14:val="tx1"/>
            </w14:solidFill>
          </w14:textFill>
        </w:rPr>
        <w:t>设备</w:t>
      </w:r>
    </w:p>
    <w:p>
      <w:pPr>
        <w:keepNext w:val="0"/>
        <w:keepLines w:val="0"/>
        <w:pageBreakBefore w:val="0"/>
        <w:widowControl w:val="0"/>
        <w:kinsoku/>
        <w:wordWrap/>
        <w:overflowPunct/>
        <w:topLinePunct w:val="0"/>
        <w:autoSpaceDE/>
        <w:autoSpaceDN/>
        <w:bidi w:val="0"/>
        <w:adjustRightInd/>
        <w:snapToGrid/>
        <w:spacing w:line="580" w:lineRule="exact"/>
        <w:ind w:firstLine="707" w:firstLineChars="221"/>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1、生物质设备生产企业、生物质气化发电企业、农村生活垃圾制气企业、农村储能电站企业</w:t>
      </w:r>
    </w:p>
    <w:p>
      <w:pPr>
        <w:keepNext w:val="0"/>
        <w:keepLines w:val="0"/>
        <w:pageBreakBefore w:val="0"/>
        <w:widowControl w:val="0"/>
        <w:kinsoku/>
        <w:wordWrap/>
        <w:overflowPunct/>
        <w:topLinePunct w:val="0"/>
        <w:autoSpaceDE/>
        <w:autoSpaceDN/>
        <w:bidi w:val="0"/>
        <w:adjustRightInd/>
        <w:snapToGrid/>
        <w:spacing w:line="580" w:lineRule="exact"/>
        <w:ind w:firstLine="707" w:firstLineChars="221"/>
        <w:textAlignment w:val="auto"/>
        <w:rPr>
          <w:rFonts w:hint="eastAsia" w:ascii="仿宋" w:hAnsi="仿宋" w:eastAsia="仿宋" w:cs="仿宋"/>
          <w:b/>
          <w:bCs/>
          <w:color w:val="auto"/>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、热泵主机系统：超低温热泵热水机、普通热水机、三联供热泵机组、泳池热泵机组、采暖专用热泵机组、特种应用热泵机组、地源、水源、空气源、</w:t>
      </w:r>
      <w:r>
        <w:rPr>
          <w:rFonts w:hint="eastAsia" w:ascii="仿宋_GB2312" w:hAnsi="仿宋_GB2312" w:eastAsia="仿宋_GB2312" w:cs="仿宋_GB2312"/>
          <w:color w:val="000000" w:themeColor="text1"/>
          <w:sz w:val="32"/>
          <w:szCs w:val="32"/>
          <w:lang w:eastAsia="zh-CN"/>
          <w14:textFill>
            <w14:solidFill>
              <w14:schemeClr w14:val="tx1"/>
            </w14:solidFill>
          </w14:textFill>
        </w:rPr>
        <w:t>污水源、</w:t>
      </w:r>
      <w:r>
        <w:rPr>
          <w:rFonts w:hint="eastAsia" w:ascii="仿宋_GB2312" w:hAnsi="仿宋_GB2312" w:eastAsia="仿宋_GB2312" w:cs="仿宋_GB2312"/>
          <w:color w:val="000000" w:themeColor="text1"/>
          <w:sz w:val="32"/>
          <w:szCs w:val="32"/>
          <w14:textFill>
            <w14:solidFill>
              <w14:schemeClr w14:val="tx1"/>
            </w14:solidFill>
          </w14:textFill>
        </w:rPr>
        <w:t>热泵热水组、热泵配件系统压缩机及配件；</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321" w:firstLineChars="100"/>
        <w:textAlignment w:val="auto"/>
        <w:rPr>
          <w:rFonts w:hint="eastAsia"/>
          <w:b/>
          <w:bCs/>
        </w:rPr>
      </w:pPr>
      <w:r>
        <w:rPr>
          <w:rFonts w:hint="eastAsia" w:ascii="仿宋" w:hAnsi="仿宋" w:eastAsia="仿宋" w:cs="仿宋"/>
          <w:b/>
          <w:bCs/>
          <w:color w:val="auto"/>
          <w:sz w:val="32"/>
          <w:szCs w:val="32"/>
          <w:lang w:val="en-US" w:eastAsia="zh-CN"/>
        </w:rPr>
        <w:t>（十）</w:t>
      </w:r>
      <w:r>
        <w:rPr>
          <w:rFonts w:hint="eastAsia"/>
          <w:b/>
          <w:bCs/>
        </w:rPr>
        <w:t>供热采暖设备</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燃气（油）锅炉、生物质锅炉、蒸汽发生器、燃气壁挂炉、壁炉、电锅炉、电采暖炉、电磁锅炉、电极锅炉、冷凝模块锅炉、蒸汽能机、循环流化床锅炉、锅炉辅机</w:t>
      </w:r>
      <w:r>
        <w:rPr>
          <w:rFonts w:hint="eastAsia" w:ascii="仿宋" w:hAnsi="仿宋" w:eastAsia="仿宋" w:cs="仿宋"/>
          <w:sz w:val="32"/>
          <w:szCs w:val="32"/>
          <w:lang w:eastAsia="zh-CN"/>
        </w:rPr>
        <w:t>、各类</w:t>
      </w:r>
      <w:r>
        <w:rPr>
          <w:rFonts w:hint="eastAsia" w:ascii="仿宋" w:hAnsi="仿宋" w:eastAsia="仿宋" w:cs="仿宋"/>
          <w:sz w:val="32"/>
          <w:szCs w:val="32"/>
        </w:rPr>
        <w:t>采暖技术设备等。</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烘干热泵通风、中央空调、空气净化设备：</w:t>
      </w:r>
    </w:p>
    <w:p>
      <w:pPr>
        <w:rPr>
          <w:rFonts w:hint="eastAsia" w:ascii="仿宋" w:hAnsi="仿宋" w:eastAsia="仿宋" w:cs="仿宋"/>
          <w:sz w:val="32"/>
          <w:szCs w:val="32"/>
        </w:rPr>
      </w:pPr>
      <w:r>
        <w:rPr>
          <w:rFonts w:hint="eastAsia" w:ascii="仿宋" w:hAnsi="仿宋" w:eastAsia="仿宋" w:cs="仿宋"/>
          <w:sz w:val="32"/>
          <w:szCs w:val="32"/>
        </w:rPr>
        <w:t>空气源/地源/水源热泵；烘干、干燥设备；中央空调/风机/盘管/风管等通风设备；温控材料与设备，中央新风换气系统；中央吸尘系统；恒温恒湿系统；空调、热泵循环 水系统设备；室内空气检测与净化处理技术设备、新风系统、空气净化技术。</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电采暖</w:t>
      </w:r>
    </w:p>
    <w:p>
      <w:pPr>
        <w:rPr>
          <w:rFonts w:hint="eastAsia" w:ascii="仿宋" w:hAnsi="仿宋" w:eastAsia="仿宋" w:cs="仿宋"/>
          <w:sz w:val="32"/>
          <w:szCs w:val="32"/>
        </w:rPr>
      </w:pPr>
      <w:r>
        <w:rPr>
          <w:rFonts w:hint="eastAsia" w:ascii="仿宋" w:hAnsi="仿宋" w:eastAsia="仿宋" w:cs="仿宋"/>
          <w:sz w:val="32"/>
          <w:szCs w:val="32"/>
        </w:rPr>
        <w:t>壁挂炉、采暖器、暖风机、取暖炉、电热膜、碳晶、电加热器材、新型电采暖及空间采暖技术设备等。</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643" w:firstLineChars="200"/>
        <w:jc w:val="both"/>
        <w:rPr>
          <w:rFonts w:hint="eastAsia" w:ascii="黑体" w:hAnsi="黑体" w:eastAsia="黑体" w:cs="黑体"/>
          <w:b/>
          <w:bCs w:val="0"/>
          <w:color w:val="2E75B6" w:themeColor="accent1" w:themeShade="BF"/>
          <w:sz w:val="32"/>
          <w:szCs w:val="32"/>
        </w:rPr>
      </w:pPr>
      <w:r>
        <w:rPr>
          <w:rFonts w:hint="eastAsia" w:ascii="黑体" w:hAnsi="黑体" w:eastAsia="黑体" w:cs="黑体"/>
          <w:b/>
          <w:bCs w:val="0"/>
          <w:color w:val="2E75B6" w:themeColor="accent1" w:themeShade="BF"/>
          <w:sz w:val="32"/>
          <w:szCs w:val="32"/>
          <w:lang w:eastAsia="zh-CN"/>
        </w:rPr>
        <w:t>五</w:t>
      </w:r>
      <w:r>
        <w:rPr>
          <w:rFonts w:hint="eastAsia" w:ascii="黑体" w:hAnsi="黑体" w:eastAsia="黑体" w:cs="黑体"/>
          <w:b/>
          <w:bCs w:val="0"/>
          <w:color w:val="2E75B6" w:themeColor="accent1" w:themeShade="BF"/>
          <w:sz w:val="32"/>
          <w:szCs w:val="32"/>
        </w:rPr>
        <w:t>、</w:t>
      </w:r>
      <w:r>
        <w:rPr>
          <w:rFonts w:hint="eastAsia" w:ascii="黑体" w:hAnsi="黑体" w:eastAsia="黑体" w:cs="黑体"/>
          <w:b/>
          <w:bCs w:val="0"/>
          <w:color w:val="2E75B6" w:themeColor="accent1" w:themeShade="BF"/>
          <w:sz w:val="32"/>
          <w:szCs w:val="32"/>
          <w:lang w:eastAsia="zh-CN"/>
        </w:rPr>
        <w:t>展会</w:t>
      </w:r>
      <w:r>
        <w:rPr>
          <w:rFonts w:hint="eastAsia" w:ascii="黑体" w:hAnsi="黑体" w:eastAsia="黑体" w:cs="黑体"/>
          <w:b/>
          <w:bCs w:val="0"/>
          <w:color w:val="2E75B6" w:themeColor="accent1" w:themeShade="BF"/>
          <w:sz w:val="32"/>
          <w:szCs w:val="32"/>
        </w:rPr>
        <w:t>期间相关活动及配套会议</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320" w:firstLineChars="100"/>
        <w:jc w:val="left"/>
        <w:rPr>
          <w:rStyle w:val="14"/>
          <w:rFonts w:hint="eastAsia" w:ascii="仿宋" w:hAnsi="仿宋" w:eastAsia="仿宋" w:cs="仿宋"/>
          <w:color w:val="000000"/>
          <w:kern w:val="36"/>
          <w:sz w:val="32"/>
          <w:szCs w:val="32"/>
          <w:lang w:val="en-US" w:eastAsia="zh-CN"/>
        </w:rPr>
      </w:pPr>
      <w:r>
        <w:rPr>
          <w:rStyle w:val="14"/>
          <w:rFonts w:hint="eastAsia" w:ascii="仿宋" w:hAnsi="仿宋" w:eastAsia="仿宋" w:cs="仿宋"/>
          <w:color w:val="000000"/>
          <w:kern w:val="36"/>
          <w:sz w:val="32"/>
          <w:szCs w:val="32"/>
          <w:lang w:val="en-US" w:eastAsia="zh-CN"/>
        </w:rPr>
        <w:t>（一）</w:t>
      </w:r>
      <w:r>
        <w:rPr>
          <w:rStyle w:val="14"/>
          <w:rFonts w:hint="eastAsia" w:ascii="仿宋" w:hAnsi="仿宋" w:eastAsia="仿宋" w:cs="仿宋"/>
          <w:color w:val="000000"/>
          <w:kern w:val="36"/>
          <w:sz w:val="32"/>
          <w:szCs w:val="32"/>
        </w:rPr>
        <w:t>领导巡</w:t>
      </w:r>
      <w:r>
        <w:rPr>
          <w:rStyle w:val="14"/>
          <w:rFonts w:hint="eastAsia" w:ascii="仿宋" w:hAnsi="仿宋" w:eastAsia="仿宋" w:cs="仿宋"/>
          <w:color w:val="000000"/>
          <w:kern w:val="36"/>
          <w:sz w:val="32"/>
          <w:szCs w:val="32"/>
          <w:lang w:eastAsia="zh-CN"/>
        </w:rPr>
        <w:t>馆及</w:t>
      </w:r>
      <w:r>
        <w:rPr>
          <w:rStyle w:val="14"/>
          <w:rFonts w:hint="eastAsia" w:ascii="仿宋" w:hAnsi="仿宋" w:eastAsia="仿宋" w:cs="仿宋"/>
          <w:color w:val="000000"/>
          <w:kern w:val="36"/>
          <w:sz w:val="32"/>
          <w:szCs w:val="32"/>
        </w:rPr>
        <w:t>开幕</w:t>
      </w:r>
      <w:r>
        <w:rPr>
          <w:rStyle w:val="14"/>
          <w:rFonts w:hint="eastAsia" w:ascii="仿宋" w:hAnsi="仿宋" w:eastAsia="仿宋" w:cs="仿宋"/>
          <w:color w:val="000000"/>
          <w:kern w:val="36"/>
          <w:sz w:val="32"/>
          <w:szCs w:val="32"/>
          <w:lang w:eastAsia="zh-CN"/>
        </w:rPr>
        <w:t>式</w:t>
      </w:r>
    </w:p>
    <w:p>
      <w:pPr>
        <w:pStyle w:val="2"/>
        <w:numPr>
          <w:ilvl w:val="0"/>
          <w:numId w:val="0"/>
        </w:numPr>
        <w:ind w:firstLine="320" w:firstLineChars="1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（二）“智能建造与建筑工业化协同发展”高峰论坛</w:t>
      </w:r>
    </w:p>
    <w:p>
      <w:pPr>
        <w:pStyle w:val="2"/>
        <w:numPr>
          <w:ilvl w:val="0"/>
          <w:numId w:val="0"/>
        </w:numPr>
        <w:ind w:firstLine="320" w:firstLineChars="1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（三）首届中国（长春）国际低碳供暖发展高峰论坛</w:t>
      </w:r>
    </w:p>
    <w:p>
      <w:pPr>
        <w:pStyle w:val="2"/>
        <w:numPr>
          <w:ilvl w:val="0"/>
          <w:numId w:val="0"/>
        </w:numPr>
        <w:ind w:firstLine="320" w:firstLineChars="100"/>
        <w:rPr>
          <w:rFonts w:hint="default"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（四）供暖产品及设备供需对接交流会</w:t>
      </w:r>
    </w:p>
    <w:p>
      <w:pPr>
        <w:pStyle w:val="2"/>
        <w:numPr>
          <w:ilvl w:val="0"/>
          <w:numId w:val="0"/>
        </w:numPr>
        <w:ind w:firstLine="320" w:firstLineChars="100"/>
        <w:rPr>
          <w:rStyle w:val="14"/>
          <w:rFonts w:hint="eastAsia" w:ascii="仿宋" w:hAnsi="仿宋" w:eastAsia="仿宋" w:cs="仿宋"/>
          <w:color w:val="000000"/>
          <w:kern w:val="36"/>
          <w:sz w:val="32"/>
          <w:szCs w:val="32"/>
          <w:lang w:val="en-US" w:eastAsia="zh-CN"/>
        </w:rPr>
      </w:pPr>
      <w:r>
        <w:rPr>
          <w:rStyle w:val="14"/>
          <w:rFonts w:hint="eastAsia" w:ascii="仿宋" w:hAnsi="仿宋" w:eastAsia="仿宋" w:cs="仿宋"/>
          <w:color w:val="000000"/>
          <w:kern w:val="36"/>
          <w:sz w:val="32"/>
          <w:szCs w:val="32"/>
          <w:lang w:val="en-US" w:eastAsia="zh-CN"/>
        </w:rPr>
        <w:t>（五）全国装配式联盟东北区工作会议</w:t>
      </w:r>
    </w:p>
    <w:p>
      <w:pPr>
        <w:pStyle w:val="2"/>
        <w:numPr>
          <w:ilvl w:val="0"/>
          <w:numId w:val="0"/>
        </w:numPr>
        <w:ind w:firstLine="320" w:firstLineChars="100"/>
        <w:rPr>
          <w:rStyle w:val="14"/>
          <w:rFonts w:hint="eastAsia" w:ascii="仿宋" w:hAnsi="仿宋" w:eastAsia="仿宋" w:cs="仿宋"/>
          <w:color w:val="auto"/>
          <w:kern w:val="36"/>
          <w:sz w:val="32"/>
          <w:szCs w:val="32"/>
          <w:lang w:val="en-US" w:eastAsia="zh-CN"/>
        </w:rPr>
      </w:pPr>
      <w:r>
        <w:rPr>
          <w:rStyle w:val="14"/>
          <w:rFonts w:hint="eastAsia" w:ascii="仿宋" w:hAnsi="仿宋" w:eastAsia="仿宋" w:cs="仿宋"/>
          <w:color w:val="000000"/>
          <w:kern w:val="36"/>
          <w:sz w:val="32"/>
          <w:szCs w:val="32"/>
          <w:lang w:val="en-US" w:eastAsia="zh-CN"/>
        </w:rPr>
        <w:t>（六）</w:t>
      </w:r>
      <w:r>
        <w:rPr>
          <w:rStyle w:val="14"/>
          <w:rFonts w:hint="eastAsia" w:ascii="仿宋" w:hAnsi="仿宋" w:eastAsia="仿宋" w:cs="仿宋"/>
          <w:color w:val="000000"/>
          <w:kern w:val="36"/>
          <w:sz w:val="32"/>
          <w:szCs w:val="32"/>
        </w:rPr>
        <w:t>新技术新产品推介</w:t>
      </w:r>
      <w:r>
        <w:rPr>
          <w:rStyle w:val="14"/>
          <w:rFonts w:hint="eastAsia" w:ascii="仿宋" w:hAnsi="仿宋" w:eastAsia="仿宋" w:cs="仿宋"/>
          <w:color w:val="000000"/>
          <w:kern w:val="36"/>
          <w:sz w:val="32"/>
          <w:szCs w:val="32"/>
          <w:lang w:eastAsia="zh-CN"/>
        </w:rPr>
        <w:t>会</w:t>
      </w:r>
    </w:p>
    <w:p>
      <w:pPr>
        <w:pStyle w:val="2"/>
        <w:numPr>
          <w:ilvl w:val="0"/>
          <w:numId w:val="0"/>
        </w:numPr>
        <w:ind w:firstLine="320" w:firstLineChars="100"/>
        <w:rPr>
          <w:rStyle w:val="14"/>
          <w:rFonts w:hint="eastAsia" w:ascii="仿宋" w:hAnsi="仿宋" w:eastAsia="仿宋" w:cs="仿宋"/>
          <w:color w:val="000000"/>
          <w:kern w:val="36"/>
          <w:sz w:val="32"/>
          <w:szCs w:val="32"/>
          <w:lang w:eastAsia="zh-CN"/>
        </w:rPr>
      </w:pPr>
      <w:r>
        <w:rPr>
          <w:rStyle w:val="14"/>
          <w:rFonts w:hint="eastAsia" w:ascii="仿宋" w:hAnsi="仿宋" w:eastAsia="仿宋" w:cs="仿宋"/>
          <w:color w:val="000000"/>
          <w:kern w:val="36"/>
          <w:sz w:val="32"/>
          <w:szCs w:val="32"/>
          <w:lang w:val="en-US" w:eastAsia="zh-CN"/>
        </w:rPr>
        <w:t>（七）</w:t>
      </w:r>
      <w:r>
        <w:rPr>
          <w:rStyle w:val="14"/>
          <w:rFonts w:hint="eastAsia" w:ascii="仿宋" w:hAnsi="仿宋" w:eastAsia="仿宋" w:cs="仿宋"/>
          <w:color w:val="000000"/>
          <w:kern w:val="36"/>
          <w:sz w:val="32"/>
          <w:szCs w:val="32"/>
          <w:lang w:eastAsia="zh-CN"/>
        </w:rPr>
        <w:t>招商引资、项目合作签约会</w:t>
      </w:r>
    </w:p>
    <w:p>
      <w:pPr>
        <w:pStyle w:val="4"/>
        <w:numPr>
          <w:ilvl w:val="0"/>
          <w:numId w:val="0"/>
        </w:numPr>
        <w:bidi w:val="0"/>
        <w:ind w:right="0" w:rightChars="0" w:firstLine="643" w:firstLineChars="200"/>
        <w:rPr>
          <w:rFonts w:hint="eastAsia"/>
          <w:lang w:val="en-US" w:eastAsia="zh-CN"/>
        </w:rPr>
      </w:pPr>
      <w:r>
        <w:rPr>
          <w:rFonts w:hint="eastAsia" w:ascii="黑体" w:hAnsi="黑体" w:cs="黑体"/>
          <w:b/>
          <w:bCs/>
          <w:color w:val="2E75B6" w:themeColor="accent1" w:themeShade="BF"/>
          <w:sz w:val="32"/>
          <w:szCs w:val="32"/>
          <w:lang w:val="en-US" w:eastAsia="zh-CN"/>
        </w:rPr>
        <w:t>六</w:t>
      </w:r>
      <w:r>
        <w:rPr>
          <w:rFonts w:hint="eastAsia" w:ascii="黑体" w:hAnsi="黑体" w:eastAsia="黑体" w:cs="黑体"/>
          <w:b/>
          <w:bCs/>
          <w:color w:val="2E75B6" w:themeColor="accent1" w:themeShade="BF"/>
          <w:sz w:val="32"/>
          <w:szCs w:val="32"/>
          <w:lang w:val="en-US" w:eastAsia="zh-CN"/>
        </w:rPr>
        <w:t>、展会亮点</w:t>
      </w:r>
    </w:p>
    <w:p>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建筑产业链完善，满足一站式供需对接；</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论坛峰会学术性、指导性强。</w:t>
      </w:r>
    </w:p>
    <w:p>
      <w:pPr>
        <w:numPr>
          <w:ilvl w:val="0"/>
          <w:numId w:val="0"/>
        </w:numPr>
        <w:shd w:val="clear" w:color="auto" w:fill="FFFFFF"/>
        <w:spacing w:line="600" w:lineRule="exact"/>
        <w:ind w:leftChars="0" w:firstLine="643" w:firstLineChars="200"/>
        <w:outlineLvl w:val="0"/>
        <w:rPr>
          <w:rFonts w:hint="eastAsia" w:ascii="黑体" w:hAnsi="黑体" w:eastAsia="黑体" w:cs="黑体"/>
          <w:b/>
          <w:bCs/>
          <w:color w:val="2E75B6" w:themeColor="accent1" w:themeShade="BF"/>
          <w:sz w:val="32"/>
          <w:szCs w:val="32"/>
          <w:lang w:val="en-US" w:eastAsia="zh-CN"/>
        </w:rPr>
      </w:pPr>
      <w:r>
        <w:rPr>
          <w:rFonts w:hint="eastAsia" w:ascii="黑体" w:hAnsi="黑体" w:eastAsia="黑体" w:cs="黑体"/>
          <w:b/>
          <w:bCs/>
          <w:color w:val="2E75B6" w:themeColor="accent1" w:themeShade="BF"/>
          <w:sz w:val="32"/>
          <w:szCs w:val="32"/>
          <w:lang w:val="en-US" w:eastAsia="zh-CN"/>
        </w:rPr>
        <w:t>七、专业观众</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b w:val="0"/>
          <w:bCs w:val="0"/>
          <w:color w:val="auto"/>
          <w:sz w:val="32"/>
          <w:szCs w:val="32"/>
          <w:lang w:val="en-US" w:eastAsia="zh-CN"/>
        </w:rPr>
        <w:t>材料经销商、品牌代理商、</w:t>
      </w:r>
      <w:r>
        <w:rPr>
          <w:rFonts w:hint="eastAsia" w:ascii="仿宋" w:hAnsi="仿宋" w:eastAsia="仿宋" w:cs="仿宋"/>
          <w:b w:val="0"/>
          <w:bCs w:val="0"/>
          <w:sz w:val="32"/>
          <w:szCs w:val="32"/>
          <w:lang w:val="en-US" w:eastAsia="zh-CN"/>
        </w:rPr>
        <w:t>工程施工单位、建材企业、</w:t>
      </w:r>
      <w:r>
        <w:rPr>
          <w:rFonts w:hint="eastAsia" w:ascii="仿宋" w:hAnsi="仿宋" w:eastAsia="仿宋" w:cs="仿宋"/>
          <w:b w:val="0"/>
          <w:bCs w:val="0"/>
          <w:color w:val="auto"/>
          <w:sz w:val="32"/>
          <w:szCs w:val="32"/>
          <w:lang w:val="en-US" w:eastAsia="zh-CN"/>
        </w:rPr>
        <w:t>装饰装修工程公司、设计机构、设计公司、电商平台及直播达人、</w:t>
      </w:r>
      <w:r>
        <w:rPr>
          <w:rFonts w:hint="eastAsia" w:ascii="仿宋" w:hAnsi="仿宋" w:eastAsia="仿宋" w:cs="仿宋"/>
          <w:b w:val="0"/>
          <w:bCs w:val="0"/>
          <w:sz w:val="32"/>
          <w:szCs w:val="32"/>
          <w:lang w:val="en-US" w:eastAsia="zh-CN"/>
        </w:rPr>
        <w:t>建筑设计院、建筑研究院、行业协会、房地产开发商、建筑主管部门、金融机构等专业人士一对一邀约参观交流洽谈。</w:t>
      </w:r>
    </w:p>
    <w:p>
      <w:pPr>
        <w:numPr>
          <w:ilvl w:val="0"/>
          <w:numId w:val="0"/>
        </w:numPr>
        <w:ind w:firstLine="643" w:firstLineChars="200"/>
        <w:rPr>
          <w:rStyle w:val="14"/>
          <w:rFonts w:hint="eastAsia" w:ascii="黑体" w:hAnsi="黑体" w:eastAsia="黑体" w:cs="黑体"/>
          <w:b/>
          <w:bCs/>
          <w:color w:val="2E75B6" w:themeColor="accent1" w:themeShade="BF"/>
          <w:kern w:val="36"/>
          <w:sz w:val="32"/>
          <w:szCs w:val="32"/>
        </w:rPr>
      </w:pPr>
      <w:r>
        <w:rPr>
          <w:rStyle w:val="14"/>
          <w:rFonts w:hint="eastAsia" w:ascii="黑体" w:hAnsi="黑体" w:eastAsia="黑体" w:cs="黑体"/>
          <w:b/>
          <w:bCs/>
          <w:color w:val="2E75B6" w:themeColor="accent1" w:themeShade="BF"/>
          <w:kern w:val="36"/>
          <w:sz w:val="32"/>
          <w:szCs w:val="32"/>
          <w:lang w:eastAsia="zh-CN"/>
        </w:rPr>
        <w:t>八、</w:t>
      </w:r>
      <w:r>
        <w:rPr>
          <w:rStyle w:val="14"/>
          <w:rFonts w:hint="eastAsia" w:ascii="黑体" w:hAnsi="黑体" w:eastAsia="黑体" w:cs="黑体"/>
          <w:b/>
          <w:bCs/>
          <w:color w:val="2E75B6" w:themeColor="accent1" w:themeShade="BF"/>
          <w:kern w:val="36"/>
          <w:sz w:val="32"/>
          <w:szCs w:val="32"/>
        </w:rPr>
        <w:t>媒体宣传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320" w:firstLineChars="100"/>
        <w:jc w:val="left"/>
        <w:textAlignment w:val="auto"/>
        <w:rPr>
          <w:rFonts w:hint="eastAsia" w:ascii="仿宋" w:hAnsi="仿宋" w:eastAsia="仿宋" w:cs="仿宋"/>
          <w:i w:val="0"/>
          <w:iCs w:val="0"/>
          <w:caps w:val="0"/>
          <w:color w:val="auto"/>
          <w:spacing w:val="0"/>
          <w:sz w:val="32"/>
          <w:szCs w:val="32"/>
          <w:shd w:val="clear" w:color="auto" w:fill="FFFFFF"/>
          <w:lang w:eastAsia="zh-CN"/>
        </w:rPr>
      </w:pPr>
      <w:r>
        <w:rPr>
          <w:rFonts w:hint="eastAsia" w:ascii="仿宋" w:hAnsi="仿宋" w:eastAsia="仿宋" w:cs="仿宋"/>
          <w:b w:val="0"/>
          <w:bCs w:val="0"/>
          <w:color w:val="0C0C0C"/>
          <w:sz w:val="32"/>
          <w:szCs w:val="32"/>
          <w:lang w:val="en-US" w:eastAsia="zh-CN"/>
        </w:rPr>
        <w:t>专业杂志、报纸、专业网站、各类自媒体平台、户外广告</w:t>
      </w:r>
      <w:r>
        <w:rPr>
          <w:rFonts w:hint="eastAsia" w:ascii="仿宋" w:hAnsi="仿宋" w:eastAsia="仿宋" w:cs="仿宋"/>
          <w:b w:val="0"/>
          <w:bCs w:val="0"/>
          <w:color w:val="0C0C0C"/>
          <w:sz w:val="32"/>
          <w:szCs w:val="32"/>
          <w:shd w:val="clear" w:color="auto" w:fill="auto"/>
          <w:lang w:val="en-US" w:eastAsia="zh-CN"/>
        </w:rPr>
        <w:t>、百度、头条、腾讯等新媒体</w:t>
      </w:r>
      <w:r>
        <w:rPr>
          <w:rFonts w:hint="eastAsia" w:ascii="仿宋" w:hAnsi="仿宋" w:eastAsia="仿宋" w:cs="仿宋"/>
          <w:b w:val="0"/>
          <w:bCs w:val="0"/>
          <w:color w:val="0C0C0C"/>
          <w:sz w:val="32"/>
          <w:szCs w:val="32"/>
          <w:lang w:val="en-US" w:eastAsia="zh-CN"/>
        </w:rPr>
        <w:t>。</w:t>
      </w:r>
    </w:p>
    <w:p>
      <w:pPr>
        <w:bidi w:val="0"/>
        <w:ind w:firstLine="320" w:firstLineChars="100"/>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eastAsia="zh-CN"/>
        </w:rPr>
        <w:t>）专业网站发布信息；</w:t>
      </w:r>
    </w:p>
    <w:p>
      <w:pPr>
        <w:bidi w:val="0"/>
        <w:ind w:firstLine="320" w:firstLineChars="100"/>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eastAsia="zh-CN"/>
        </w:rPr>
        <w:t>）省内大型在建项目地推广宣传</w:t>
      </w:r>
    </w:p>
    <w:p>
      <w:pPr>
        <w:bidi w:val="0"/>
        <w:ind w:firstLine="320" w:firstLineChars="100"/>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出租车顶灯、户外广告、轻轨、地铁</w:t>
      </w:r>
      <w:r>
        <w:rPr>
          <w:rFonts w:hint="eastAsia" w:ascii="仿宋" w:hAnsi="仿宋" w:eastAsia="仿宋" w:cs="仿宋"/>
          <w:sz w:val="32"/>
          <w:szCs w:val="32"/>
          <w:lang w:eastAsia="zh-CN"/>
        </w:rPr>
        <w:t>广泛宣传；</w:t>
      </w:r>
    </w:p>
    <w:p>
      <w:pPr>
        <w:bidi w:val="0"/>
        <w:ind w:firstLine="320" w:firstLineChars="100"/>
        <w:rPr>
          <w:rFonts w:hint="eastAsia" w:ascii="仿宋" w:hAnsi="仿宋" w:eastAsia="仿宋" w:cs="仿宋"/>
          <w:sz w:val="32"/>
          <w:szCs w:val="32"/>
          <w:lang w:eastAsia="zh-CN"/>
        </w:rPr>
      </w:pPr>
      <w:r>
        <w:rPr>
          <w:rFonts w:hint="eastAsia" w:ascii="仿宋" w:hAnsi="仿宋" w:eastAsia="仿宋" w:cs="仿宋"/>
          <w:sz w:val="32"/>
          <w:szCs w:val="32"/>
          <w:lang w:eastAsia="zh-CN"/>
        </w:rPr>
        <w:t>（四）</w:t>
      </w:r>
      <w:r>
        <w:rPr>
          <w:rFonts w:hint="eastAsia" w:ascii="仿宋" w:hAnsi="仿宋" w:eastAsia="仿宋" w:cs="仿宋"/>
          <w:sz w:val="32"/>
          <w:szCs w:val="32"/>
        </w:rPr>
        <w:t>借助直播平台、微信、微博、自媒体、公众号、抖音、快</w:t>
      </w:r>
      <w:r>
        <w:rPr>
          <w:rFonts w:hint="eastAsia" w:ascii="仿宋" w:hAnsi="仿宋" w:eastAsia="仿宋" w:cs="仿宋"/>
          <w:sz w:val="32"/>
          <w:szCs w:val="32"/>
          <w:lang w:eastAsia="zh-CN"/>
        </w:rPr>
        <w:t>手</w:t>
      </w:r>
      <w:r>
        <w:rPr>
          <w:rFonts w:hint="eastAsia" w:ascii="仿宋" w:hAnsi="仿宋" w:eastAsia="仿宋" w:cs="仿宋"/>
          <w:sz w:val="32"/>
          <w:szCs w:val="32"/>
        </w:rPr>
        <w:t>等新媒体</w:t>
      </w:r>
      <w:r>
        <w:rPr>
          <w:rFonts w:hint="eastAsia" w:ascii="仿宋" w:hAnsi="仿宋" w:eastAsia="仿宋" w:cs="仿宋"/>
          <w:sz w:val="32"/>
          <w:szCs w:val="32"/>
          <w:lang w:eastAsia="zh-CN"/>
        </w:rPr>
        <w:t>广泛宣传。</w:t>
      </w:r>
    </w:p>
    <w:p>
      <w:pPr>
        <w:numPr>
          <w:ilvl w:val="0"/>
          <w:numId w:val="0"/>
        </w:numPr>
        <w:ind w:firstLine="643" w:firstLineChars="200"/>
        <w:rPr>
          <w:rStyle w:val="14"/>
          <w:rFonts w:hint="eastAsia" w:ascii="黑体" w:hAnsi="黑体" w:eastAsia="黑体" w:cs="黑体"/>
          <w:b/>
          <w:bCs/>
          <w:color w:val="2E75B6" w:themeColor="accent1" w:themeShade="BF"/>
          <w:sz w:val="32"/>
          <w:szCs w:val="32"/>
          <w:lang w:val="en-US" w:eastAsia="zh-CN"/>
        </w:rPr>
      </w:pPr>
      <w:r>
        <w:rPr>
          <w:rStyle w:val="14"/>
          <w:rFonts w:hint="eastAsia" w:ascii="黑体" w:hAnsi="黑体" w:eastAsia="黑体" w:cs="黑体"/>
          <w:b/>
          <w:bCs/>
          <w:color w:val="2E75B6" w:themeColor="accent1" w:themeShade="BF"/>
          <w:sz w:val="32"/>
          <w:szCs w:val="32"/>
          <w:lang w:val="en-US" w:eastAsia="zh-CN"/>
        </w:rPr>
        <w:t>九、展位费用</w:t>
      </w:r>
    </w:p>
    <w:p>
      <w:pPr>
        <w:bidi w:val="0"/>
        <w:ind w:firstLine="320" w:firstLineChars="1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（一）净地展位：500元/m²（36m²起、特装）；</w:t>
      </w:r>
    </w:p>
    <w:p>
      <w:pPr>
        <w:bidi w:val="0"/>
        <w:ind w:firstLine="320" w:firstLineChars="1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（二）国际标准展位：5000元/9m²，角位加500元（免费提供：三面展板、展眉、两只射灯、一张洽谈桌、两把椅子）；                                                      </w:t>
      </w:r>
    </w:p>
    <w:p>
      <w:pPr>
        <w:bidi w:val="0"/>
        <w:ind w:firstLine="320" w:firstLineChars="100"/>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（三） </w:t>
      </w:r>
      <w:r>
        <w:rPr>
          <w:rFonts w:hint="eastAsia" w:ascii="仿宋" w:hAnsi="仿宋" w:eastAsia="仿宋" w:cs="仿宋"/>
          <w:sz w:val="32"/>
          <w:szCs w:val="32"/>
        </w:rPr>
        <w:t>组委会根据先申请-先付款-先确定的原则安排展位</w:t>
      </w:r>
      <w:r>
        <w:rPr>
          <w:rFonts w:hint="eastAsia" w:ascii="仿宋" w:hAnsi="仿宋" w:eastAsia="仿宋" w:cs="仿宋"/>
          <w:sz w:val="32"/>
          <w:szCs w:val="32"/>
          <w:lang w:eastAsia="zh-CN"/>
        </w:rPr>
        <w:t>。</w:t>
      </w:r>
    </w:p>
    <w:p>
      <w:pPr>
        <w:numPr>
          <w:ilvl w:val="0"/>
          <w:numId w:val="0"/>
        </w:numPr>
        <w:ind w:firstLine="643" w:firstLineChars="200"/>
        <w:rPr>
          <w:rStyle w:val="14"/>
          <w:rFonts w:hint="eastAsia" w:ascii="黑体" w:hAnsi="黑体" w:eastAsia="黑体" w:cs="黑体"/>
          <w:b/>
          <w:bCs/>
          <w:color w:val="2E75B6" w:themeColor="accent1" w:themeShade="BF"/>
          <w:sz w:val="32"/>
          <w:szCs w:val="32"/>
          <w:lang w:val="en-US" w:eastAsia="zh-CN"/>
        </w:rPr>
      </w:pPr>
      <w:r>
        <w:rPr>
          <w:rStyle w:val="14"/>
          <w:rFonts w:hint="eastAsia" w:ascii="黑体" w:hAnsi="黑体" w:eastAsia="黑体" w:cs="黑体"/>
          <w:b/>
          <w:bCs/>
          <w:color w:val="2E75B6" w:themeColor="accent1" w:themeShade="BF"/>
          <w:sz w:val="32"/>
          <w:szCs w:val="32"/>
          <w:lang w:val="en-US" w:eastAsia="zh-CN"/>
        </w:rPr>
        <w:t>十、联系方式</w:t>
      </w:r>
    </w:p>
    <w:p>
      <w:pPr>
        <w:rPr>
          <w:rFonts w:hint="default" w:ascii="仿宋" w:hAnsi="仿宋" w:eastAsia="仿宋" w:cs="仿宋"/>
          <w:sz w:val="32"/>
          <w:szCs w:val="32"/>
          <w:lang w:val="en-US" w:eastAsia="zh-CN"/>
        </w:rPr>
      </w:pPr>
      <w:r>
        <w:rPr>
          <w:rFonts w:hint="eastAsia"/>
          <w:sz w:val="32"/>
          <w:szCs w:val="32"/>
          <w:lang w:val="en-US" w:eastAsia="zh-CN"/>
        </w:rPr>
        <w:t xml:space="preserve">   厉</w:t>
      </w:r>
      <w:bookmarkStart w:id="0" w:name="_GoBack"/>
      <w:bookmarkEnd w:id="0"/>
      <w:r>
        <w:rPr>
          <w:rFonts w:hint="eastAsia" w:ascii="仿宋" w:hAnsi="仿宋" w:eastAsia="仿宋" w:cs="仿宋"/>
          <w:sz w:val="32"/>
          <w:szCs w:val="32"/>
          <w:lang w:val="en-US" w:eastAsia="zh-CN"/>
        </w:rPr>
        <w:t>经理：0431-81853398   17643145608</w:t>
      </w:r>
    </w:p>
    <w:p>
      <w:pPr>
        <w:pStyle w:val="2"/>
        <w:numPr>
          <w:ilvl w:val="0"/>
          <w:numId w:val="0"/>
        </w:numPr>
        <w:ind w:firstLine="320" w:firstLineChars="100"/>
        <w:rPr>
          <w:rFonts w:hint="eastAsia" w:ascii="仿宋" w:hAnsi="仿宋" w:eastAsia="仿宋" w:cs="仿宋"/>
          <w:sz w:val="32"/>
          <w:szCs w:val="32"/>
          <w:lang w:val="en-US" w:eastAsia="zh-CN"/>
        </w:rPr>
      </w:pPr>
    </w:p>
    <w:p>
      <w:pPr>
        <w:pStyle w:val="2"/>
        <w:numPr>
          <w:ilvl w:val="0"/>
          <w:numId w:val="0"/>
        </w:numPr>
        <w:rPr>
          <w:rFonts w:hint="eastAsia" w:ascii="仿宋" w:hAnsi="仿宋" w:eastAsia="仿宋" w:cs="仿宋"/>
          <w:sz w:val="32"/>
          <w:szCs w:val="32"/>
          <w:lang w:val="en-US" w:eastAsia="zh-CN"/>
        </w:rPr>
      </w:pPr>
    </w:p>
    <w:p>
      <w:pPr>
        <w:pStyle w:val="2"/>
        <w:numPr>
          <w:ilvl w:val="0"/>
          <w:numId w:val="0"/>
        </w:numPr>
        <w:rPr>
          <w:rFonts w:hint="eastAsia" w:ascii="仿宋" w:hAnsi="仿宋" w:eastAsia="仿宋" w:cs="仿宋"/>
          <w:sz w:val="32"/>
          <w:szCs w:val="32"/>
          <w:lang w:val="en-US" w:eastAsia="zh-CN"/>
        </w:rPr>
      </w:pPr>
    </w:p>
    <w:tbl>
      <w:tblPr>
        <w:tblStyle w:val="11"/>
        <w:tblpPr w:leftFromText="180" w:rightFromText="180" w:vertAnchor="text" w:horzAnchor="page" w:tblpXSpec="center" w:tblpY="310"/>
        <w:tblOverlap w:val="never"/>
        <w:tblW w:w="1054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4"/>
        <w:gridCol w:w="2160"/>
        <w:gridCol w:w="2010"/>
        <w:gridCol w:w="1455"/>
        <w:gridCol w:w="1800"/>
        <w:gridCol w:w="22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91" w:hRule="exact"/>
          <w:jc w:val="center"/>
        </w:trPr>
        <w:tc>
          <w:tcPr>
            <w:tcW w:w="10542" w:type="dxa"/>
            <w:gridSpan w:val="6"/>
            <w:tcBorders>
              <w:top w:val="nil"/>
              <w:left w:val="nil"/>
              <w:right w:val="nil"/>
            </w:tcBorders>
            <w:vAlign w:val="center"/>
          </w:tcPr>
          <w:p>
            <w:pPr>
              <w:pStyle w:val="3"/>
              <w:bidi w:val="0"/>
              <w:jc w:val="center"/>
              <w:rPr>
                <w:rFonts w:hint="eastAsia" w:ascii="微软雅黑" w:hAnsi="微软雅黑" w:eastAsia="微软雅黑" w:cs="微软雅黑"/>
                <w:b/>
                <w:bCs w:val="0"/>
                <w:color w:val="5B9BD5" w:themeColor="accent1"/>
                <w:sz w:val="30"/>
                <w:szCs w:val="30"/>
                <w:lang w:val="en-US" w:eastAsia="zh-CN"/>
                <w14:textFill>
                  <w14:solidFill>
                    <w14:schemeClr w14:val="accent1"/>
                  </w14:solidFill>
                </w14:textFill>
              </w:rPr>
            </w:pPr>
            <w:r>
              <w:rPr>
                <w:rFonts w:hint="eastAsia" w:ascii="微软雅黑" w:hAnsi="微软雅黑" w:eastAsia="微软雅黑" w:cs="微软雅黑"/>
                <w:b/>
                <w:bCs w:val="0"/>
                <w:color w:val="5B9BD5" w:themeColor="accent1"/>
                <w:sz w:val="30"/>
                <w:szCs w:val="30"/>
                <w:lang w:val="en-US" w:eastAsia="zh-CN"/>
                <w14:textFill>
                  <w14:solidFill>
                    <w14:schemeClr w14:val="accent1"/>
                  </w14:solidFill>
                </w14:textFill>
              </w:rPr>
              <w:t>第</w:t>
            </w:r>
            <w:r>
              <w:rPr>
                <w:rFonts w:hint="eastAsia" w:eastAsia="微软雅黑" w:cs="微软雅黑"/>
                <w:b/>
                <w:bCs w:val="0"/>
                <w:color w:val="5B9BD5" w:themeColor="accent1"/>
                <w:sz w:val="30"/>
                <w:szCs w:val="30"/>
                <w:lang w:val="en-US" w:eastAsia="zh-CN"/>
                <w14:textFill>
                  <w14:solidFill>
                    <w14:schemeClr w14:val="accent1"/>
                  </w14:solidFill>
                </w14:textFill>
              </w:rPr>
              <w:t>四</w:t>
            </w:r>
            <w:r>
              <w:rPr>
                <w:rFonts w:hint="eastAsia" w:ascii="微软雅黑" w:hAnsi="微软雅黑" w:eastAsia="微软雅黑" w:cs="微软雅黑"/>
                <w:b/>
                <w:bCs w:val="0"/>
                <w:color w:val="5B9BD5" w:themeColor="accent1"/>
                <w:sz w:val="30"/>
                <w:szCs w:val="30"/>
                <w:lang w:val="en-US" w:eastAsia="zh-CN"/>
                <w14:textFill>
                  <w14:solidFill>
                    <w14:schemeClr w14:val="accent1"/>
                  </w14:solidFill>
                </w14:textFill>
              </w:rPr>
              <w:t>届中国（长春）现代建筑及绿色建材产业博览会</w:t>
            </w:r>
          </w:p>
          <w:p>
            <w:pPr>
              <w:pStyle w:val="2"/>
              <w:jc w:val="center"/>
              <w:rPr>
                <w:rFonts w:hint="default"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b/>
                <w:bCs w:val="0"/>
                <w:color w:val="5B9BD5" w:themeColor="accent1"/>
                <w:sz w:val="30"/>
                <w:szCs w:val="30"/>
                <w:vertAlign w:val="baseline"/>
                <w:lang w:val="en-US" w:eastAsia="zh-CN"/>
                <w14:textFill>
                  <w14:solidFill>
                    <w14:schemeClr w14:val="accent1"/>
                  </w14:solidFill>
                </w14:textFill>
              </w:rPr>
              <w:t>广告资源汇总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1" w:hRule="exact"/>
          <w:jc w:val="center"/>
        </w:trPr>
        <w:tc>
          <w:tcPr>
            <w:tcW w:w="884" w:type="dxa"/>
            <w:tcBorders>
              <w:tl2br w:val="nil"/>
              <w:tr2bl w:val="nil"/>
            </w:tcBorders>
            <w:shd w:val="clear" w:color="auto" w:fill="BDD6EE" w:themeFill="accent1" w:themeFillTint="66"/>
            <w:vAlign w:val="center"/>
          </w:tcPr>
          <w:p>
            <w:pPr>
              <w:pStyle w:val="2"/>
              <w:ind w:left="0" w:leftChars="0" w:firstLine="0" w:firstLineChars="0"/>
              <w:jc w:val="center"/>
              <w:rPr>
                <w:rFonts w:hint="eastAsia"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t>编号</w:t>
            </w:r>
          </w:p>
        </w:tc>
        <w:tc>
          <w:tcPr>
            <w:tcW w:w="2160" w:type="dxa"/>
            <w:tcBorders>
              <w:tl2br w:val="nil"/>
              <w:tr2bl w:val="nil"/>
            </w:tcBorders>
            <w:shd w:val="clear" w:color="auto" w:fill="BDD6EE" w:themeFill="accent1" w:themeFillTint="66"/>
            <w:vAlign w:val="center"/>
          </w:tcPr>
          <w:p>
            <w:pPr>
              <w:pStyle w:val="2"/>
              <w:ind w:left="0" w:leftChars="0" w:firstLine="0" w:firstLineChars="0"/>
              <w:jc w:val="center"/>
              <w:rPr>
                <w:rFonts w:hint="eastAsia"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t>项目</w:t>
            </w:r>
          </w:p>
        </w:tc>
        <w:tc>
          <w:tcPr>
            <w:tcW w:w="2010" w:type="dxa"/>
            <w:tcBorders>
              <w:tl2br w:val="nil"/>
              <w:tr2bl w:val="nil"/>
            </w:tcBorders>
            <w:shd w:val="clear" w:color="auto" w:fill="BDD6EE" w:themeFill="accent1" w:themeFillTint="66"/>
            <w:vAlign w:val="center"/>
          </w:tcPr>
          <w:p>
            <w:pPr>
              <w:pStyle w:val="2"/>
              <w:ind w:left="0" w:leftChars="0" w:firstLine="0" w:firstLineChars="0"/>
              <w:jc w:val="center"/>
              <w:rPr>
                <w:rFonts w:hint="default"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t>规格/时长</w:t>
            </w:r>
          </w:p>
        </w:tc>
        <w:tc>
          <w:tcPr>
            <w:tcW w:w="1455" w:type="dxa"/>
            <w:tcBorders>
              <w:tl2br w:val="nil"/>
              <w:tr2bl w:val="nil"/>
            </w:tcBorders>
            <w:shd w:val="clear" w:color="auto" w:fill="BDD6EE" w:themeFill="accent1" w:themeFillTint="66"/>
            <w:vAlign w:val="center"/>
          </w:tcPr>
          <w:p>
            <w:pPr>
              <w:pStyle w:val="2"/>
              <w:ind w:left="0" w:leftChars="0" w:firstLine="0" w:firstLineChars="0"/>
              <w:jc w:val="center"/>
              <w:rPr>
                <w:rFonts w:hint="eastAsia"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t>数量</w:t>
            </w:r>
          </w:p>
        </w:tc>
        <w:tc>
          <w:tcPr>
            <w:tcW w:w="1800" w:type="dxa"/>
            <w:tcBorders>
              <w:tl2br w:val="nil"/>
              <w:tr2bl w:val="nil"/>
            </w:tcBorders>
            <w:shd w:val="clear" w:color="auto" w:fill="BDD6EE" w:themeFill="accent1" w:themeFillTint="66"/>
            <w:vAlign w:val="center"/>
          </w:tcPr>
          <w:p>
            <w:pPr>
              <w:pStyle w:val="2"/>
              <w:ind w:left="0" w:leftChars="0" w:firstLine="0" w:firstLineChars="0"/>
              <w:jc w:val="center"/>
              <w:rPr>
                <w:rFonts w:hint="eastAsia"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t>广告位价格</w:t>
            </w:r>
          </w:p>
        </w:tc>
        <w:tc>
          <w:tcPr>
            <w:tcW w:w="2233" w:type="dxa"/>
            <w:tcBorders>
              <w:tl2br w:val="nil"/>
              <w:tr2bl w:val="nil"/>
            </w:tcBorders>
            <w:shd w:val="clear" w:color="auto" w:fill="BDD6EE" w:themeFill="accent1" w:themeFillTint="66"/>
            <w:vAlign w:val="center"/>
          </w:tcPr>
          <w:p>
            <w:pPr>
              <w:pStyle w:val="2"/>
              <w:ind w:left="0" w:leftChars="0" w:firstLine="0" w:firstLineChars="0"/>
              <w:jc w:val="center"/>
              <w:rPr>
                <w:rFonts w:hint="eastAsia"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none"/>
                <w:shd w:val="clear" w:color="auto" w:fill="auto"/>
                <w:vertAlign w:val="baseline"/>
                <w:lang w:val="en-US" w:eastAsia="zh-CN"/>
                <w14:textFill>
                  <w14:solidFill>
                    <w14:schemeClr w14:val="tx1"/>
                  </w14:solidFill>
                </w14:textFill>
              </w:rPr>
              <w:t>示例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0" w:hRule="atLeast"/>
          <w:jc w:val="center"/>
        </w:trPr>
        <w:tc>
          <w:tcPr>
            <w:tcW w:w="884" w:type="dxa"/>
            <w:vMerge w:val="restart"/>
            <w:tcBorders>
              <w:tl2br w:val="nil"/>
              <w:tr2bl w:val="nil"/>
            </w:tcBorders>
            <w:shd w:val="clear" w:color="auto" w:fill="BDD6EE" w:themeFill="accent1" w:themeFillTint="66"/>
            <w:vAlign w:val="center"/>
          </w:tcPr>
          <w:p>
            <w:pPr>
              <w:pStyle w:val="2"/>
              <w:ind w:left="0" w:leftChars="0" w:firstLine="0" w:firstLineChars="0"/>
              <w:jc w:val="center"/>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1</w:t>
            </w:r>
          </w:p>
        </w:tc>
        <w:tc>
          <w:tcPr>
            <w:tcW w:w="2160" w:type="dxa"/>
            <w:tcBorders>
              <w:tl2br w:val="nil"/>
              <w:tr2bl w:val="nil"/>
            </w:tcBorders>
            <w:vAlign w:val="center"/>
          </w:tcPr>
          <w:p>
            <w:pPr>
              <w:pStyle w:val="2"/>
              <w:ind w:left="0" w:leftChars="0" w:firstLine="0" w:firstLineChars="0"/>
              <w:jc w:val="center"/>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b w:val="0"/>
                <w:bCs w:val="0"/>
                <w:sz w:val="21"/>
                <w:szCs w:val="21"/>
                <w:vertAlign w:val="baseline"/>
                <w:lang w:val="en-US" w:eastAsia="zh-CN"/>
              </w:rPr>
              <w:t>会刊封面</w:t>
            </w:r>
          </w:p>
        </w:tc>
        <w:tc>
          <w:tcPr>
            <w:tcW w:w="2010" w:type="dxa"/>
            <w:vMerge w:val="restart"/>
            <w:tcBorders>
              <w:tl2br w:val="nil"/>
              <w:tr2bl w:val="nil"/>
            </w:tcBorders>
            <w:vAlign w:val="center"/>
          </w:tcPr>
          <w:p>
            <w:pPr>
              <w:pStyle w:val="2"/>
              <w:ind w:left="0" w:leftChars="0" w:firstLine="0" w:firstLineChars="0"/>
              <w:jc w:val="center"/>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28.5cm x 21cm</w:t>
            </w:r>
          </w:p>
        </w:tc>
        <w:tc>
          <w:tcPr>
            <w:tcW w:w="1455" w:type="dxa"/>
            <w:vMerge w:val="restart"/>
            <w:tcBorders>
              <w:tl2br w:val="nil"/>
              <w:tr2bl w:val="nil"/>
            </w:tcBorders>
            <w:vAlign w:val="center"/>
          </w:tcPr>
          <w:p>
            <w:pPr>
              <w:numPr>
                <w:ilvl w:val="0"/>
                <w:numId w:val="0"/>
              </w:numPr>
              <w:spacing w:line="600" w:lineRule="exact"/>
              <w:jc w:val="center"/>
              <w:outlineLvl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5000册</w:t>
            </w:r>
          </w:p>
          <w:p>
            <w:pPr>
              <w:pStyle w:val="2"/>
              <w:ind w:left="0" w:leftChars="0" w:firstLine="0" w:firstLineChars="0"/>
              <w:jc w:val="center"/>
              <w:rPr>
                <w:rFonts w:hint="default"/>
                <w:lang w:val="en-US" w:eastAsia="zh-CN"/>
              </w:rPr>
            </w:pPr>
            <w:r>
              <w:rPr>
                <w:rStyle w:val="14"/>
                <w:rFonts w:hint="eastAsia" w:ascii="微软雅黑" w:hAnsi="微软雅黑" w:eastAsia="微软雅黑" w:cs="微软雅黑"/>
                <w:b w:val="0"/>
                <w:bCs w:val="0"/>
                <w:color w:val="5B9BD5" w:themeColor="accent1"/>
                <w:sz w:val="18"/>
                <w:szCs w:val="18"/>
                <w:vertAlign w:val="baseline"/>
                <w:lang w:val="en-US" w:eastAsia="zh-CN"/>
                <w14:textFill>
                  <w14:solidFill>
                    <w14:schemeClr w14:val="accent1"/>
                  </w14:solidFill>
                </w14:textFill>
              </w:rPr>
              <w:t>免费刊登参展企业信息，展会现场免费发放</w:t>
            </w:r>
          </w:p>
        </w:tc>
        <w:tc>
          <w:tcPr>
            <w:tcW w:w="1800" w:type="dxa"/>
            <w:tcBorders>
              <w:tl2br w:val="nil"/>
              <w:tr2bl w:val="nil"/>
            </w:tcBorders>
            <w:vAlign w:val="center"/>
          </w:tcPr>
          <w:p>
            <w:pPr>
              <w:pStyle w:val="2"/>
              <w:jc w:val="both"/>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b w:val="0"/>
                <w:bCs w:val="0"/>
                <w:sz w:val="21"/>
                <w:szCs w:val="21"/>
                <w:vertAlign w:val="baseline"/>
                <w:lang w:val="en-US" w:eastAsia="zh-CN"/>
              </w:rPr>
              <w:t>3万元</w:t>
            </w:r>
          </w:p>
        </w:tc>
        <w:tc>
          <w:tcPr>
            <w:tcW w:w="2233" w:type="dxa"/>
            <w:vMerge w:val="restart"/>
            <w:tcBorders>
              <w:tl2br w:val="nil"/>
              <w:tr2bl w:val="nil"/>
            </w:tcBorders>
            <w:vAlign w:val="center"/>
          </w:tcPr>
          <w:p>
            <w:pPr>
              <w:pStyle w:val="2"/>
              <w:jc w:val="center"/>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b w:val="0"/>
                <w:bCs w:val="0"/>
                <w:sz w:val="21"/>
                <w:szCs w:val="21"/>
                <w:lang w:val="en-US" w:eastAsia="zh-CN"/>
              </w:rPr>
              <w:drawing>
                <wp:anchor distT="0" distB="0" distL="114300" distR="114300" simplePos="0" relativeHeight="251662336" behindDoc="0" locked="0" layoutInCell="1" allowOverlap="1">
                  <wp:simplePos x="0" y="0"/>
                  <wp:positionH relativeFrom="column">
                    <wp:posOffset>204470</wp:posOffset>
                  </wp:positionH>
                  <wp:positionV relativeFrom="paragraph">
                    <wp:posOffset>43815</wp:posOffset>
                  </wp:positionV>
                  <wp:extent cx="890270" cy="1130300"/>
                  <wp:effectExtent l="0" t="0" r="5080" b="12700"/>
                  <wp:wrapNone/>
                  <wp:docPr id="6" name="图片 6" descr="00c94279e369b4f4fc617454509d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c94279e369b4f4fc617454509d2a3"/>
                          <pic:cNvPicPr>
                            <a:picLocks noChangeAspect="1"/>
                          </pic:cNvPicPr>
                        </pic:nvPicPr>
                        <pic:blipFill>
                          <a:blip r:embed="rId8"/>
                          <a:stretch>
                            <a:fillRect/>
                          </a:stretch>
                        </pic:blipFill>
                        <pic:spPr>
                          <a:xfrm>
                            <a:off x="0" y="0"/>
                            <a:ext cx="890270" cy="1130300"/>
                          </a:xfrm>
                          <a:prstGeom prst="rect">
                            <a:avLst/>
                          </a:prstGeom>
                          <a:effectLst/>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0" w:hRule="atLeast"/>
          <w:jc w:val="center"/>
        </w:trPr>
        <w:tc>
          <w:tcPr>
            <w:tcW w:w="884" w:type="dxa"/>
            <w:vMerge w:val="continue"/>
            <w:tcBorders>
              <w:tl2br w:val="nil"/>
              <w:tr2bl w:val="nil"/>
            </w:tcBorders>
            <w:shd w:val="clear" w:color="auto" w:fill="BDD6EE" w:themeFill="accent1" w:themeFillTint="66"/>
            <w:vAlign w:val="center"/>
          </w:tcPr>
          <w:p>
            <w:pPr>
              <w:pStyle w:val="2"/>
              <w:jc w:val="center"/>
              <w:rPr>
                <w:rFonts w:hint="eastAsia" w:ascii="微软雅黑" w:hAnsi="微软雅黑" w:eastAsia="微软雅黑" w:cs="微软雅黑"/>
                <w:b w:val="0"/>
                <w:bCs w:val="0"/>
                <w:sz w:val="28"/>
                <w:szCs w:val="28"/>
              </w:rPr>
            </w:pPr>
          </w:p>
        </w:tc>
        <w:tc>
          <w:tcPr>
            <w:tcW w:w="2160" w:type="dxa"/>
            <w:tcBorders>
              <w:tl2br w:val="nil"/>
              <w:tr2bl w:val="nil"/>
            </w:tcBorders>
            <w:vAlign w:val="center"/>
          </w:tcPr>
          <w:p>
            <w:pPr>
              <w:pStyle w:val="2"/>
              <w:ind w:left="0" w:leftChars="0" w:firstLine="0" w:firstLineChars="0"/>
              <w:jc w:val="center"/>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封二、封三、封底</w:t>
            </w:r>
          </w:p>
        </w:tc>
        <w:tc>
          <w:tcPr>
            <w:tcW w:w="2010" w:type="dxa"/>
            <w:vMerge w:val="continue"/>
            <w:tcBorders>
              <w:tl2br w:val="nil"/>
              <w:tr2bl w:val="nil"/>
            </w:tcBorders>
            <w:vAlign w:val="center"/>
          </w:tcPr>
          <w:p>
            <w:pPr>
              <w:pStyle w:val="2"/>
              <w:jc w:val="center"/>
              <w:rPr>
                <w:rFonts w:hint="eastAsia" w:ascii="微软雅黑" w:hAnsi="微软雅黑" w:eastAsia="微软雅黑" w:cs="微软雅黑"/>
                <w:b w:val="0"/>
                <w:bCs w:val="0"/>
                <w:sz w:val="21"/>
                <w:szCs w:val="21"/>
                <w:vertAlign w:val="baseline"/>
                <w:lang w:val="en-US" w:eastAsia="zh-CN"/>
              </w:rPr>
            </w:pPr>
          </w:p>
        </w:tc>
        <w:tc>
          <w:tcPr>
            <w:tcW w:w="1455" w:type="dxa"/>
            <w:vMerge w:val="continue"/>
            <w:tcBorders>
              <w:tl2br w:val="nil"/>
              <w:tr2bl w:val="nil"/>
            </w:tcBorders>
            <w:vAlign w:val="center"/>
          </w:tcPr>
          <w:p>
            <w:pPr>
              <w:pStyle w:val="2"/>
              <w:jc w:val="center"/>
              <w:rPr>
                <w:rFonts w:hint="eastAsia" w:ascii="微软雅黑" w:hAnsi="微软雅黑" w:eastAsia="微软雅黑" w:cs="微软雅黑"/>
                <w:b w:val="0"/>
                <w:bCs w:val="0"/>
                <w:sz w:val="21"/>
                <w:szCs w:val="21"/>
                <w:vertAlign w:val="baseline"/>
                <w:lang w:val="en-US" w:eastAsia="zh-CN"/>
              </w:rPr>
            </w:pPr>
          </w:p>
        </w:tc>
        <w:tc>
          <w:tcPr>
            <w:tcW w:w="1800" w:type="dxa"/>
            <w:tcBorders>
              <w:tl2br w:val="nil"/>
              <w:tr2bl w:val="nil"/>
            </w:tcBorders>
            <w:vAlign w:val="center"/>
          </w:tcPr>
          <w:p>
            <w:pPr>
              <w:pStyle w:val="2"/>
              <w:jc w:val="both"/>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b w:val="0"/>
                <w:bCs w:val="0"/>
                <w:sz w:val="21"/>
                <w:szCs w:val="21"/>
                <w:vertAlign w:val="baseline"/>
                <w:lang w:val="en-US" w:eastAsia="zh-CN"/>
              </w:rPr>
              <w:t>1万元</w:t>
            </w:r>
          </w:p>
        </w:tc>
        <w:tc>
          <w:tcPr>
            <w:tcW w:w="2233" w:type="dxa"/>
            <w:vMerge w:val="continue"/>
            <w:tcBorders>
              <w:tl2br w:val="nil"/>
              <w:tr2bl w:val="nil"/>
            </w:tcBorders>
            <w:vAlign w:val="center"/>
          </w:tcPr>
          <w:p>
            <w:pPr>
              <w:pStyle w:val="2"/>
              <w:jc w:val="center"/>
              <w:rPr>
                <w:rFonts w:hint="eastAsia" w:ascii="微软雅黑" w:hAnsi="微软雅黑" w:eastAsia="微软雅黑" w:cs="微软雅黑"/>
                <w:b w:val="0"/>
                <w:bCs w:val="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0" w:hRule="atLeast"/>
          <w:jc w:val="center"/>
        </w:trPr>
        <w:tc>
          <w:tcPr>
            <w:tcW w:w="884" w:type="dxa"/>
            <w:vMerge w:val="continue"/>
            <w:tcBorders>
              <w:tl2br w:val="nil"/>
              <w:tr2bl w:val="nil"/>
            </w:tcBorders>
            <w:shd w:val="clear" w:color="auto" w:fill="BDD6EE" w:themeFill="accent1" w:themeFillTint="66"/>
            <w:vAlign w:val="center"/>
          </w:tcPr>
          <w:p>
            <w:pPr>
              <w:pStyle w:val="2"/>
              <w:jc w:val="center"/>
              <w:rPr>
                <w:rFonts w:hint="eastAsia" w:ascii="微软雅黑" w:hAnsi="微软雅黑" w:eastAsia="微软雅黑" w:cs="微软雅黑"/>
                <w:b w:val="0"/>
                <w:bCs w:val="0"/>
                <w:sz w:val="28"/>
                <w:szCs w:val="28"/>
                <w:vertAlign w:val="baseline"/>
                <w:lang w:val="en-US" w:eastAsia="zh-CN"/>
              </w:rPr>
            </w:pPr>
          </w:p>
        </w:tc>
        <w:tc>
          <w:tcPr>
            <w:tcW w:w="2160" w:type="dxa"/>
            <w:tcBorders>
              <w:tl2br w:val="nil"/>
              <w:tr2bl w:val="nil"/>
            </w:tcBorders>
            <w:vAlign w:val="center"/>
          </w:tcPr>
          <w:p>
            <w:pPr>
              <w:pStyle w:val="2"/>
              <w:ind w:left="0" w:leftChars="0" w:firstLine="0" w:firstLineChars="0"/>
              <w:jc w:val="center"/>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内页彩色广告</w:t>
            </w:r>
          </w:p>
        </w:tc>
        <w:tc>
          <w:tcPr>
            <w:tcW w:w="2010" w:type="dxa"/>
            <w:vMerge w:val="continue"/>
            <w:tcBorders>
              <w:tl2br w:val="nil"/>
              <w:tr2bl w:val="nil"/>
            </w:tcBorders>
            <w:vAlign w:val="center"/>
          </w:tcPr>
          <w:p>
            <w:pPr>
              <w:pStyle w:val="2"/>
              <w:jc w:val="center"/>
              <w:rPr>
                <w:rFonts w:hint="eastAsia" w:ascii="微软雅黑" w:hAnsi="微软雅黑" w:eastAsia="微软雅黑" w:cs="微软雅黑"/>
                <w:b w:val="0"/>
                <w:bCs w:val="0"/>
                <w:sz w:val="21"/>
                <w:szCs w:val="21"/>
                <w:vertAlign w:val="baseline"/>
                <w:lang w:val="en-US" w:eastAsia="zh-CN"/>
              </w:rPr>
            </w:pPr>
          </w:p>
        </w:tc>
        <w:tc>
          <w:tcPr>
            <w:tcW w:w="1455" w:type="dxa"/>
            <w:vMerge w:val="continue"/>
            <w:tcBorders>
              <w:tl2br w:val="nil"/>
              <w:tr2bl w:val="nil"/>
            </w:tcBorders>
            <w:vAlign w:val="center"/>
          </w:tcPr>
          <w:p>
            <w:pPr>
              <w:pStyle w:val="2"/>
              <w:jc w:val="center"/>
              <w:rPr>
                <w:rFonts w:hint="eastAsia" w:ascii="微软雅黑" w:hAnsi="微软雅黑" w:eastAsia="微软雅黑" w:cs="微软雅黑"/>
                <w:b w:val="0"/>
                <w:bCs w:val="0"/>
                <w:sz w:val="21"/>
                <w:szCs w:val="21"/>
                <w:vertAlign w:val="baseline"/>
                <w:lang w:val="en-US" w:eastAsia="zh-CN"/>
              </w:rPr>
            </w:pPr>
          </w:p>
        </w:tc>
        <w:tc>
          <w:tcPr>
            <w:tcW w:w="1800" w:type="dxa"/>
            <w:tcBorders>
              <w:tl2br w:val="nil"/>
              <w:tr2bl w:val="nil"/>
            </w:tcBorders>
            <w:vAlign w:val="center"/>
          </w:tcPr>
          <w:p>
            <w:pPr>
              <w:pStyle w:val="2"/>
              <w:jc w:val="both"/>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b w:val="0"/>
                <w:bCs w:val="0"/>
                <w:sz w:val="21"/>
                <w:szCs w:val="21"/>
                <w:vertAlign w:val="baseline"/>
                <w:lang w:val="en-US" w:eastAsia="zh-CN"/>
              </w:rPr>
              <w:t>3000元</w:t>
            </w:r>
          </w:p>
        </w:tc>
        <w:tc>
          <w:tcPr>
            <w:tcW w:w="2233" w:type="dxa"/>
            <w:vMerge w:val="continue"/>
            <w:tcBorders>
              <w:tl2br w:val="nil"/>
              <w:tr2bl w:val="nil"/>
            </w:tcBorders>
            <w:vAlign w:val="center"/>
          </w:tcPr>
          <w:p>
            <w:pPr>
              <w:pStyle w:val="2"/>
              <w:jc w:val="center"/>
              <w:rPr>
                <w:rFonts w:hint="eastAsia" w:ascii="微软雅黑" w:hAnsi="微软雅黑" w:eastAsia="微软雅黑" w:cs="微软雅黑"/>
                <w:b w:val="0"/>
                <w:bCs w:val="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1" w:hRule="exact"/>
          <w:jc w:val="center"/>
        </w:trPr>
        <w:tc>
          <w:tcPr>
            <w:tcW w:w="884" w:type="dxa"/>
            <w:tcBorders>
              <w:tl2br w:val="nil"/>
              <w:tr2bl w:val="nil"/>
            </w:tcBorders>
            <w:shd w:val="clear" w:color="auto" w:fill="BDD6EE" w:themeFill="accent1" w:themeFillTint="66"/>
            <w:vAlign w:val="center"/>
          </w:tcPr>
          <w:p>
            <w:pPr>
              <w:pStyle w:val="2"/>
              <w:ind w:left="0" w:leftChars="0" w:firstLine="0" w:firstLineChars="0"/>
              <w:jc w:val="center"/>
              <w:rPr>
                <w:rFonts w:hint="eastAsia"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2</w:t>
            </w:r>
          </w:p>
        </w:tc>
        <w:tc>
          <w:tcPr>
            <w:tcW w:w="2160"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充气拱门</w:t>
            </w:r>
          </w:p>
        </w:tc>
        <w:tc>
          <w:tcPr>
            <w:tcW w:w="2010"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跨度16m条幅5m</w:t>
            </w:r>
          </w:p>
        </w:tc>
        <w:tc>
          <w:tcPr>
            <w:tcW w:w="1455"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3天</w:t>
            </w:r>
          </w:p>
        </w:tc>
        <w:tc>
          <w:tcPr>
            <w:tcW w:w="1800"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2000元</w:t>
            </w:r>
          </w:p>
        </w:tc>
        <w:tc>
          <w:tcPr>
            <w:tcW w:w="2233" w:type="dxa"/>
            <w:tcBorders>
              <w:tl2br w:val="nil"/>
              <w:tr2bl w:val="nil"/>
            </w:tcBorders>
            <w:vAlign w:val="center"/>
          </w:tcPr>
          <w:p>
            <w:pPr>
              <w:pStyle w:val="2"/>
              <w:jc w:val="left"/>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b w:val="0"/>
                <w:bCs w:val="0"/>
                <w:sz w:val="21"/>
                <w:szCs w:val="21"/>
                <w:lang w:val="en-US" w:eastAsia="zh-CN"/>
              </w:rPr>
              <w:drawing>
                <wp:anchor distT="0" distB="0" distL="114300" distR="114300" simplePos="0" relativeHeight="251663360" behindDoc="1" locked="0" layoutInCell="1" allowOverlap="1">
                  <wp:simplePos x="0" y="0"/>
                  <wp:positionH relativeFrom="column">
                    <wp:posOffset>-6350</wp:posOffset>
                  </wp:positionH>
                  <wp:positionV relativeFrom="paragraph">
                    <wp:posOffset>46990</wp:posOffset>
                  </wp:positionV>
                  <wp:extent cx="1271905" cy="1005205"/>
                  <wp:effectExtent l="0" t="0" r="4445" b="4445"/>
                  <wp:wrapThrough wrapText="bothSides">
                    <wp:wrapPolygon>
                      <wp:start x="0" y="0"/>
                      <wp:lineTo x="0" y="21286"/>
                      <wp:lineTo x="21352" y="21286"/>
                      <wp:lineTo x="21352" y="0"/>
                      <wp:lineTo x="0" y="0"/>
                    </wp:wrapPolygon>
                  </wp:wrapThrough>
                  <wp:docPr id="8" name="图片 8" descr="E:\各个展会资料\4-筑博会\2021筑博会\图片\展会照片\IMG_6720.JPGIMG_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各个展会资料\4-筑博会\2021筑博会\图片\展会照片\IMG_6720.JPGIMG_6720"/>
                          <pic:cNvPicPr>
                            <a:picLocks noChangeAspect="1"/>
                          </pic:cNvPicPr>
                        </pic:nvPicPr>
                        <pic:blipFill>
                          <a:blip r:embed="rId9"/>
                          <a:srcRect/>
                          <a:stretch>
                            <a:fillRect/>
                          </a:stretch>
                        </pic:blipFill>
                        <pic:spPr>
                          <a:xfrm>
                            <a:off x="0" y="0"/>
                            <a:ext cx="1271905" cy="1005205"/>
                          </a:xfrm>
                          <a:prstGeom prst="rect">
                            <a:avLst/>
                          </a:prstGeom>
                          <a:effectLst/>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1" w:hRule="exact"/>
          <w:jc w:val="center"/>
        </w:trPr>
        <w:tc>
          <w:tcPr>
            <w:tcW w:w="884" w:type="dxa"/>
            <w:tcBorders>
              <w:tl2br w:val="nil"/>
              <w:tr2bl w:val="nil"/>
            </w:tcBorders>
            <w:shd w:val="clear" w:color="auto" w:fill="BDD6EE" w:themeFill="accent1" w:themeFillTint="66"/>
            <w:vAlign w:val="center"/>
          </w:tcPr>
          <w:p>
            <w:pPr>
              <w:pStyle w:val="2"/>
              <w:ind w:left="0" w:leftChars="0" w:firstLine="0" w:firstLineChars="0"/>
              <w:jc w:val="center"/>
              <w:rPr>
                <w:rFonts w:hint="default"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3</w:t>
            </w:r>
          </w:p>
        </w:tc>
        <w:tc>
          <w:tcPr>
            <w:tcW w:w="2160"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楼体广告位</w:t>
            </w:r>
          </w:p>
        </w:tc>
        <w:tc>
          <w:tcPr>
            <w:tcW w:w="2010"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11.5m x 4.5m</w:t>
            </w:r>
          </w:p>
        </w:tc>
        <w:tc>
          <w:tcPr>
            <w:tcW w:w="1455"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22块</w:t>
            </w:r>
          </w:p>
        </w:tc>
        <w:tc>
          <w:tcPr>
            <w:tcW w:w="1800" w:type="dxa"/>
            <w:tcBorders>
              <w:tl2br w:val="nil"/>
              <w:tr2bl w:val="nil"/>
            </w:tcBorders>
            <w:vAlign w:val="center"/>
          </w:tcPr>
          <w:p>
            <w:pPr>
              <w:numPr>
                <w:ilvl w:val="0"/>
                <w:numId w:val="0"/>
              </w:numPr>
              <w:spacing w:line="600" w:lineRule="exact"/>
              <w:jc w:val="center"/>
              <w:outlineLvl w:val="0"/>
              <w:rPr>
                <w:rStyle w:val="14"/>
                <w:rFonts w:hint="eastAsia" w:ascii="微软雅黑" w:hAnsi="微软雅黑" w:eastAsia="微软雅黑" w:cs="微软雅黑"/>
                <w:b w:val="0"/>
                <w:bCs w:val="0"/>
                <w:color w:val="00000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2万元/块</w:t>
            </w:r>
          </w:p>
          <w:p>
            <w:pPr>
              <w:numPr>
                <w:ilvl w:val="0"/>
                <w:numId w:val="0"/>
              </w:numPr>
              <w:spacing w:line="600" w:lineRule="exact"/>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含制作高空安装</w:t>
            </w:r>
          </w:p>
        </w:tc>
        <w:tc>
          <w:tcPr>
            <w:tcW w:w="2233" w:type="dxa"/>
            <w:tcBorders>
              <w:tl2br w:val="nil"/>
              <w:tr2bl w:val="nil"/>
            </w:tcBorders>
            <w:vAlign w:val="center"/>
          </w:tcPr>
          <w:p>
            <w:pPr>
              <w:pStyle w:val="2"/>
              <w:jc w:val="center"/>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b w:val="0"/>
                <w:bCs w:val="0"/>
                <w:sz w:val="21"/>
                <w:szCs w:val="21"/>
                <w:lang w:val="en-US" w:eastAsia="zh-CN"/>
              </w:rPr>
              <w:drawing>
                <wp:anchor distT="0" distB="0" distL="114300" distR="114300" simplePos="0" relativeHeight="251664384" behindDoc="0" locked="0" layoutInCell="1" allowOverlap="1">
                  <wp:simplePos x="0" y="0"/>
                  <wp:positionH relativeFrom="column">
                    <wp:posOffset>-5715</wp:posOffset>
                  </wp:positionH>
                  <wp:positionV relativeFrom="paragraph">
                    <wp:posOffset>82550</wp:posOffset>
                  </wp:positionV>
                  <wp:extent cx="1269365" cy="951865"/>
                  <wp:effectExtent l="0" t="0" r="6985" b="635"/>
                  <wp:wrapNone/>
                  <wp:docPr id="10" name="图片 10" descr="E:\公司用材料\其他展会照片\制博会\微信图片_2021040813352717.jpg微信图片_202104081335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公司用材料\其他展会照片\制博会\微信图片_2021040813352717.jpg微信图片_2021040813352717"/>
                          <pic:cNvPicPr>
                            <a:picLocks noChangeAspect="1"/>
                          </pic:cNvPicPr>
                        </pic:nvPicPr>
                        <pic:blipFill>
                          <a:blip r:embed="rId10"/>
                          <a:srcRect/>
                          <a:stretch>
                            <a:fillRect/>
                          </a:stretch>
                        </pic:blipFill>
                        <pic:spPr>
                          <a:xfrm>
                            <a:off x="0" y="0"/>
                            <a:ext cx="1269365" cy="951865"/>
                          </a:xfrm>
                          <a:prstGeom prst="rect">
                            <a:avLst/>
                          </a:prstGeom>
                          <a:effectLst/>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1" w:hRule="exact"/>
          <w:jc w:val="center"/>
        </w:trPr>
        <w:tc>
          <w:tcPr>
            <w:tcW w:w="884" w:type="dxa"/>
            <w:tcBorders>
              <w:tl2br w:val="nil"/>
              <w:tr2bl w:val="nil"/>
            </w:tcBorders>
            <w:shd w:val="clear" w:color="auto" w:fill="BDD6EE" w:themeFill="accent1" w:themeFillTint="66"/>
            <w:vAlign w:val="center"/>
          </w:tcPr>
          <w:p>
            <w:pPr>
              <w:pStyle w:val="2"/>
              <w:ind w:left="0" w:leftChars="0" w:firstLine="0" w:firstLineChars="0"/>
              <w:jc w:val="center"/>
              <w:rPr>
                <w:rFonts w:hint="default"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4</w:t>
            </w:r>
          </w:p>
        </w:tc>
        <w:tc>
          <w:tcPr>
            <w:tcW w:w="2160"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门票（入场券）</w:t>
            </w:r>
          </w:p>
        </w:tc>
        <w:tc>
          <w:tcPr>
            <w:tcW w:w="2010"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21cm x 8cm</w:t>
            </w:r>
          </w:p>
        </w:tc>
        <w:tc>
          <w:tcPr>
            <w:tcW w:w="1455"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10万张</w:t>
            </w:r>
          </w:p>
          <w:p>
            <w:pPr>
              <w:pStyle w:val="2"/>
              <w:ind w:left="0" w:leftChars="0" w:firstLine="0" w:firstLineChars="0"/>
              <w:jc w:val="center"/>
              <w:rPr>
                <w:rFonts w:hint="default"/>
                <w:lang w:val="en-US" w:eastAsia="zh-CN"/>
              </w:rPr>
            </w:pPr>
            <w:r>
              <w:rPr>
                <w:rStyle w:val="14"/>
                <w:rFonts w:hint="eastAsia" w:ascii="微软雅黑" w:hAnsi="微软雅黑" w:eastAsia="微软雅黑" w:cs="微软雅黑"/>
                <w:b w:val="0"/>
                <w:bCs w:val="0"/>
                <w:color w:val="5B9BD5" w:themeColor="accent1"/>
                <w:sz w:val="18"/>
                <w:szCs w:val="18"/>
                <w:vertAlign w:val="baseline"/>
                <w:lang w:val="en-US" w:eastAsia="zh-CN"/>
                <w14:textFill>
                  <w14:solidFill>
                    <w14:schemeClr w14:val="accent1"/>
                  </w14:solidFill>
                </w14:textFill>
              </w:rPr>
              <w:t>应邀参展观众免费领取</w:t>
            </w:r>
          </w:p>
        </w:tc>
        <w:tc>
          <w:tcPr>
            <w:tcW w:w="1800"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5万元</w:t>
            </w:r>
          </w:p>
        </w:tc>
        <w:tc>
          <w:tcPr>
            <w:tcW w:w="2233" w:type="dxa"/>
            <w:tcBorders>
              <w:tl2br w:val="nil"/>
              <w:tr2bl w:val="nil"/>
            </w:tcBorders>
            <w:vAlign w:val="center"/>
          </w:tcPr>
          <w:p>
            <w:pPr>
              <w:pStyle w:val="2"/>
              <w:jc w:val="center"/>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b w:val="0"/>
                <w:bCs w:val="0"/>
                <w:sz w:val="21"/>
                <w:szCs w:val="21"/>
                <w:lang w:val="en-US" w:eastAsia="zh-CN"/>
              </w:rPr>
              <w:drawing>
                <wp:anchor distT="0" distB="0" distL="114300" distR="114300" simplePos="0" relativeHeight="251666432" behindDoc="0" locked="0" layoutInCell="1" allowOverlap="1">
                  <wp:simplePos x="0" y="0"/>
                  <wp:positionH relativeFrom="column">
                    <wp:posOffset>-33020</wp:posOffset>
                  </wp:positionH>
                  <wp:positionV relativeFrom="paragraph">
                    <wp:posOffset>555625</wp:posOffset>
                  </wp:positionV>
                  <wp:extent cx="1259205" cy="501650"/>
                  <wp:effectExtent l="0" t="0" r="17145" b="12700"/>
                  <wp:wrapNone/>
                  <wp:docPr id="12" name="图片 12" descr="b4d25ce789a1ad02634204442523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4d25ce789a1ad02634204442523f4f"/>
                          <pic:cNvPicPr>
                            <a:picLocks noChangeAspect="1"/>
                          </pic:cNvPicPr>
                        </pic:nvPicPr>
                        <pic:blipFill>
                          <a:blip r:embed="rId11"/>
                          <a:stretch>
                            <a:fillRect/>
                          </a:stretch>
                        </pic:blipFill>
                        <pic:spPr>
                          <a:xfrm>
                            <a:off x="0" y="0"/>
                            <a:ext cx="1259205" cy="501650"/>
                          </a:xfrm>
                          <a:prstGeom prst="rect">
                            <a:avLst/>
                          </a:prstGeom>
                        </pic:spPr>
                      </pic:pic>
                    </a:graphicData>
                  </a:graphic>
                </wp:anchor>
              </w:drawing>
            </w:r>
            <w:r>
              <w:rPr>
                <w:rFonts w:hint="eastAsia" w:ascii="微软雅黑" w:hAnsi="微软雅黑" w:eastAsia="微软雅黑" w:cs="微软雅黑"/>
                <w:b w:val="0"/>
                <w:bCs w:val="0"/>
                <w:sz w:val="21"/>
                <w:szCs w:val="21"/>
                <w:lang w:val="en-US" w:eastAsia="zh-CN"/>
              </w:rPr>
              <w:drawing>
                <wp:anchor distT="0" distB="0" distL="114300" distR="114300" simplePos="0" relativeHeight="251665408" behindDoc="0" locked="0" layoutInCell="1" allowOverlap="1">
                  <wp:simplePos x="0" y="0"/>
                  <wp:positionH relativeFrom="column">
                    <wp:posOffset>33655</wp:posOffset>
                  </wp:positionH>
                  <wp:positionV relativeFrom="paragraph">
                    <wp:posOffset>20955</wp:posOffset>
                  </wp:positionV>
                  <wp:extent cx="1283970" cy="524510"/>
                  <wp:effectExtent l="0" t="0" r="11430" b="8890"/>
                  <wp:wrapNone/>
                  <wp:docPr id="11" name="图片 11" descr="93bda849261eccc99e2c6a869010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3bda849261eccc99e2c6a86901023b"/>
                          <pic:cNvPicPr>
                            <a:picLocks noChangeAspect="1"/>
                          </pic:cNvPicPr>
                        </pic:nvPicPr>
                        <pic:blipFill>
                          <a:blip r:embed="rId12"/>
                          <a:stretch>
                            <a:fillRect/>
                          </a:stretch>
                        </pic:blipFill>
                        <pic:spPr>
                          <a:xfrm>
                            <a:off x="0" y="0"/>
                            <a:ext cx="1283970" cy="524510"/>
                          </a:xfrm>
                          <a:prstGeom prst="rect">
                            <a:avLst/>
                          </a:prstGeom>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1" w:hRule="exact"/>
          <w:jc w:val="center"/>
        </w:trPr>
        <w:tc>
          <w:tcPr>
            <w:tcW w:w="884" w:type="dxa"/>
            <w:tcBorders>
              <w:tl2br w:val="nil"/>
              <w:tr2bl w:val="nil"/>
            </w:tcBorders>
            <w:shd w:val="clear" w:color="auto" w:fill="BDD6EE" w:themeFill="accent1" w:themeFillTint="66"/>
            <w:vAlign w:val="center"/>
          </w:tcPr>
          <w:p>
            <w:pPr>
              <w:pStyle w:val="2"/>
              <w:ind w:left="0" w:leftChars="0" w:firstLine="0" w:firstLineChars="0"/>
              <w:jc w:val="center"/>
              <w:rPr>
                <w:rFonts w:hint="default"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5</w:t>
            </w:r>
          </w:p>
        </w:tc>
        <w:tc>
          <w:tcPr>
            <w:tcW w:w="2160"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参展证件</w:t>
            </w:r>
          </w:p>
        </w:tc>
        <w:tc>
          <w:tcPr>
            <w:tcW w:w="2010"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12cm x 9cm</w:t>
            </w:r>
          </w:p>
        </w:tc>
        <w:tc>
          <w:tcPr>
            <w:tcW w:w="1455"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3000个</w:t>
            </w:r>
          </w:p>
        </w:tc>
        <w:tc>
          <w:tcPr>
            <w:tcW w:w="1800" w:type="dxa"/>
            <w:tcBorders>
              <w:tl2br w:val="nil"/>
              <w:tr2bl w:val="nil"/>
            </w:tcBorders>
            <w:vAlign w:val="center"/>
          </w:tcPr>
          <w:p>
            <w:pPr>
              <w:numPr>
                <w:ilvl w:val="0"/>
                <w:numId w:val="0"/>
              </w:numPr>
              <w:spacing w:line="600" w:lineRule="exact"/>
              <w:ind w:left="0" w:leftChars="0" w:firstLine="0" w:firstLineChars="0"/>
              <w:jc w:val="center"/>
              <w:outlineLvl w:val="0"/>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3万元</w:t>
            </w:r>
          </w:p>
        </w:tc>
        <w:tc>
          <w:tcPr>
            <w:tcW w:w="2233" w:type="dxa"/>
            <w:tcBorders>
              <w:tl2br w:val="nil"/>
              <w:tr2bl w:val="nil"/>
            </w:tcBorders>
            <w:vAlign w:val="center"/>
          </w:tcPr>
          <w:p>
            <w:pPr>
              <w:pStyle w:val="2"/>
              <w:jc w:val="center"/>
              <w:rPr>
                <w:rFonts w:hint="eastAsia" w:ascii="微软雅黑" w:hAnsi="微软雅黑" w:eastAsia="微软雅黑" w:cs="微软雅黑"/>
                <w:b w:val="0"/>
                <w:bCs w:val="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drawing>
                <wp:anchor distT="0" distB="0" distL="114300" distR="114300" simplePos="0" relativeHeight="251667456" behindDoc="0" locked="0" layoutInCell="1" allowOverlap="1">
                  <wp:simplePos x="0" y="0"/>
                  <wp:positionH relativeFrom="column">
                    <wp:posOffset>-23495</wp:posOffset>
                  </wp:positionH>
                  <wp:positionV relativeFrom="paragraph">
                    <wp:posOffset>40640</wp:posOffset>
                  </wp:positionV>
                  <wp:extent cx="617220" cy="871855"/>
                  <wp:effectExtent l="0" t="0" r="11430" b="4445"/>
                  <wp:wrapNone/>
                  <wp:docPr id="16" name="图片 16" descr="4f198323e1589dc91484d76ec1f0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f198323e1589dc91484d76ec1f090d"/>
                          <pic:cNvPicPr>
                            <a:picLocks noChangeAspect="1"/>
                          </pic:cNvPicPr>
                        </pic:nvPicPr>
                        <pic:blipFill>
                          <a:blip r:embed="rId13"/>
                          <a:stretch>
                            <a:fillRect/>
                          </a:stretch>
                        </pic:blipFill>
                        <pic:spPr>
                          <a:xfrm>
                            <a:off x="0" y="0"/>
                            <a:ext cx="617220" cy="871855"/>
                          </a:xfrm>
                          <a:prstGeom prst="rect">
                            <a:avLst/>
                          </a:prstGeom>
                          <a:effectLst/>
                        </pic:spPr>
                      </pic:pic>
                    </a:graphicData>
                  </a:graphic>
                </wp:anchor>
              </w:drawing>
            </w:r>
            <w:r>
              <w:rPr>
                <w:rStyle w:val="14"/>
                <w:rFonts w:hint="eastAsia" w:ascii="微软雅黑" w:hAnsi="微软雅黑" w:eastAsia="微软雅黑" w:cs="微软雅黑"/>
                <w:b w:val="0"/>
                <w:bCs w:val="0"/>
                <w:color w:val="000000"/>
                <w:sz w:val="21"/>
                <w:szCs w:val="21"/>
                <w:vertAlign w:val="baseline"/>
                <w:lang w:val="en-US" w:eastAsia="zh-CN"/>
              </w:rPr>
              <w:drawing>
                <wp:anchor distT="0" distB="0" distL="114300" distR="114300" simplePos="0" relativeHeight="251668480" behindDoc="0" locked="0" layoutInCell="1" allowOverlap="1">
                  <wp:simplePos x="0" y="0"/>
                  <wp:positionH relativeFrom="column">
                    <wp:posOffset>672465</wp:posOffset>
                  </wp:positionH>
                  <wp:positionV relativeFrom="paragraph">
                    <wp:posOffset>121920</wp:posOffset>
                  </wp:positionV>
                  <wp:extent cx="635000" cy="897255"/>
                  <wp:effectExtent l="0" t="0" r="12700" b="17145"/>
                  <wp:wrapNone/>
                  <wp:docPr id="15" name="图片 15" descr="3873ba057d50f411ae1f8ac0b195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873ba057d50f411ae1f8ac0b1954c9"/>
                          <pic:cNvPicPr>
                            <a:picLocks noChangeAspect="1"/>
                          </pic:cNvPicPr>
                        </pic:nvPicPr>
                        <pic:blipFill>
                          <a:blip r:embed="rId14"/>
                          <a:stretch>
                            <a:fillRect/>
                          </a:stretch>
                        </pic:blipFill>
                        <pic:spPr>
                          <a:xfrm>
                            <a:off x="0" y="0"/>
                            <a:ext cx="635000" cy="897255"/>
                          </a:xfrm>
                          <a:prstGeom prst="rect">
                            <a:avLst/>
                          </a:prstGeom>
                          <a:effectLst/>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1" w:hRule="exact"/>
          <w:jc w:val="center"/>
        </w:trPr>
        <w:tc>
          <w:tcPr>
            <w:tcW w:w="884" w:type="dxa"/>
            <w:tcBorders>
              <w:tl2br w:val="nil"/>
              <w:tr2bl w:val="nil"/>
            </w:tcBorders>
            <w:shd w:val="clear" w:color="auto" w:fill="BDD6EE" w:themeFill="accent1" w:themeFillTint="66"/>
            <w:vAlign w:val="center"/>
          </w:tcPr>
          <w:p>
            <w:pPr>
              <w:pStyle w:val="2"/>
              <w:ind w:left="0" w:leftChars="0" w:firstLine="0" w:firstLineChars="0"/>
              <w:jc w:val="center"/>
              <w:rPr>
                <w:rFonts w:hint="default" w:ascii="微软雅黑" w:hAnsi="微软雅黑" w:eastAsia="微软雅黑" w:cs="微软雅黑"/>
                <w:b w:val="0"/>
                <w:bCs w:val="0"/>
                <w:sz w:val="28"/>
                <w:szCs w:val="28"/>
                <w:vertAlign w:val="baseline"/>
                <w:lang w:val="en-US" w:eastAsia="zh-CN"/>
              </w:rPr>
            </w:pPr>
            <w:r>
              <w:rPr>
                <w:rFonts w:hint="eastAsia" w:ascii="微软雅黑" w:hAnsi="微软雅黑" w:eastAsia="微软雅黑" w:cs="微软雅黑"/>
                <w:b w:val="0"/>
                <w:bCs w:val="0"/>
                <w:sz w:val="28"/>
                <w:szCs w:val="28"/>
                <w:vertAlign w:val="baseline"/>
                <w:lang w:val="en-US" w:eastAsia="zh-CN"/>
              </w:rPr>
              <w:t>6</w:t>
            </w:r>
          </w:p>
        </w:tc>
        <w:tc>
          <w:tcPr>
            <w:tcW w:w="2160" w:type="dxa"/>
            <w:tcBorders>
              <w:tl2br w:val="nil"/>
              <w:tr2bl w:val="nil"/>
            </w:tcBorders>
            <w:vAlign w:val="center"/>
          </w:tcPr>
          <w:p>
            <w:pPr>
              <w:numPr>
                <w:ilvl w:val="0"/>
                <w:numId w:val="0"/>
              </w:numPr>
              <w:spacing w:line="600" w:lineRule="exact"/>
              <w:ind w:left="0" w:leftChars="0" w:firstLine="0" w:firstLineChars="0"/>
              <w:jc w:val="center"/>
              <w:outlineLvl w:val="0"/>
              <w:rPr>
                <w:rStyle w:val="14"/>
                <w:rFonts w:hint="eastAsia" w:ascii="微软雅黑" w:hAnsi="微软雅黑" w:eastAsia="微软雅黑" w:cs="微软雅黑"/>
                <w:b w:val="0"/>
                <w:bCs w:val="0"/>
                <w:color w:val="00000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新产品推介会</w:t>
            </w:r>
          </w:p>
        </w:tc>
        <w:tc>
          <w:tcPr>
            <w:tcW w:w="2010" w:type="dxa"/>
            <w:tcBorders>
              <w:tl2br w:val="nil"/>
              <w:tr2bl w:val="nil"/>
            </w:tcBorders>
            <w:vAlign w:val="center"/>
          </w:tcPr>
          <w:p>
            <w:pPr>
              <w:numPr>
                <w:ilvl w:val="0"/>
                <w:numId w:val="0"/>
              </w:numPr>
              <w:spacing w:line="600" w:lineRule="exact"/>
              <w:ind w:left="0" w:leftChars="0" w:firstLine="0" w:firstLineChars="0"/>
              <w:jc w:val="center"/>
              <w:outlineLvl w:val="0"/>
              <w:rPr>
                <w:rStyle w:val="14"/>
                <w:rFonts w:hint="default" w:ascii="微软雅黑" w:hAnsi="微软雅黑" w:eastAsia="微软雅黑" w:cs="微软雅黑"/>
                <w:b w:val="0"/>
                <w:bCs w:val="0"/>
                <w:color w:val="00000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150分钟  10家</w:t>
            </w:r>
          </w:p>
        </w:tc>
        <w:tc>
          <w:tcPr>
            <w:tcW w:w="1455" w:type="dxa"/>
            <w:tcBorders>
              <w:tl2br w:val="nil"/>
              <w:tr2bl w:val="nil"/>
            </w:tcBorders>
            <w:vAlign w:val="center"/>
          </w:tcPr>
          <w:p>
            <w:pPr>
              <w:numPr>
                <w:ilvl w:val="0"/>
                <w:numId w:val="0"/>
              </w:numPr>
              <w:spacing w:line="600" w:lineRule="exact"/>
              <w:ind w:left="0" w:leftChars="0" w:firstLine="0" w:firstLineChars="0"/>
              <w:jc w:val="center"/>
              <w:outlineLvl w:val="0"/>
              <w:rPr>
                <w:rStyle w:val="14"/>
                <w:rFonts w:hint="default" w:ascii="微软雅黑" w:hAnsi="微软雅黑" w:eastAsia="微软雅黑" w:cs="微软雅黑"/>
                <w:b w:val="0"/>
                <w:bCs w:val="0"/>
                <w:color w:val="00000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15分钟/家</w:t>
            </w:r>
          </w:p>
        </w:tc>
        <w:tc>
          <w:tcPr>
            <w:tcW w:w="1800" w:type="dxa"/>
            <w:tcBorders>
              <w:tl2br w:val="nil"/>
              <w:tr2bl w:val="nil"/>
            </w:tcBorders>
            <w:vAlign w:val="center"/>
          </w:tcPr>
          <w:p>
            <w:pPr>
              <w:numPr>
                <w:ilvl w:val="0"/>
                <w:numId w:val="0"/>
              </w:numPr>
              <w:spacing w:line="600" w:lineRule="exact"/>
              <w:ind w:left="0" w:leftChars="0" w:firstLine="0" w:firstLineChars="0"/>
              <w:jc w:val="center"/>
              <w:outlineLvl w:val="0"/>
              <w:rPr>
                <w:rStyle w:val="14"/>
                <w:rFonts w:hint="default" w:ascii="微软雅黑" w:hAnsi="微软雅黑" w:eastAsia="微软雅黑" w:cs="微软雅黑"/>
                <w:b w:val="0"/>
                <w:bCs w:val="0"/>
                <w:color w:val="00000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t>1万元/家</w:t>
            </w:r>
          </w:p>
        </w:tc>
        <w:tc>
          <w:tcPr>
            <w:tcW w:w="2233" w:type="dxa"/>
            <w:tcBorders>
              <w:tl2br w:val="nil"/>
              <w:tr2bl w:val="nil"/>
            </w:tcBorders>
            <w:vAlign w:val="center"/>
          </w:tcPr>
          <w:p>
            <w:pPr>
              <w:pStyle w:val="2"/>
              <w:jc w:val="center"/>
              <w:rPr>
                <w:rStyle w:val="14"/>
                <w:rFonts w:hint="eastAsia" w:ascii="微软雅黑" w:hAnsi="微软雅黑" w:eastAsia="微软雅黑" w:cs="微软雅黑"/>
                <w:b w:val="0"/>
                <w:bCs w:val="0"/>
                <w:color w:val="000000"/>
                <w:sz w:val="21"/>
                <w:szCs w:val="21"/>
                <w:vertAlign w:val="baseline"/>
                <w:lang w:val="en-US" w:eastAsia="zh-CN"/>
              </w:rPr>
            </w:pPr>
            <w:r>
              <w:rPr>
                <w:rStyle w:val="14"/>
                <w:rFonts w:hint="eastAsia" w:ascii="微软雅黑" w:hAnsi="微软雅黑" w:eastAsia="微软雅黑" w:cs="微软雅黑"/>
                <w:b w:val="0"/>
                <w:bCs w:val="0"/>
                <w:color w:val="000000"/>
                <w:sz w:val="21"/>
                <w:szCs w:val="21"/>
                <w:vertAlign w:val="baseline"/>
                <w:lang w:val="en-US" w:eastAsia="zh-CN"/>
              </w:rPr>
              <w:drawing>
                <wp:anchor distT="0" distB="0" distL="114300" distR="114300" simplePos="0" relativeHeight="251669504" behindDoc="1" locked="0" layoutInCell="1" allowOverlap="1">
                  <wp:simplePos x="0" y="0"/>
                  <wp:positionH relativeFrom="column">
                    <wp:posOffset>-24130</wp:posOffset>
                  </wp:positionH>
                  <wp:positionV relativeFrom="paragraph">
                    <wp:posOffset>87630</wp:posOffset>
                  </wp:positionV>
                  <wp:extent cx="1327785" cy="927100"/>
                  <wp:effectExtent l="0" t="0" r="5715" b="6350"/>
                  <wp:wrapThrough wrapText="bothSides">
                    <wp:wrapPolygon>
                      <wp:start x="0" y="0"/>
                      <wp:lineTo x="0" y="21304"/>
                      <wp:lineTo x="21383" y="21304"/>
                      <wp:lineTo x="21383" y="0"/>
                      <wp:lineTo x="0" y="0"/>
                    </wp:wrapPolygon>
                  </wp:wrapThrough>
                  <wp:docPr id="17" name="图片 17" descr="E:\各个展会资料\4-筑博会\2021筑博会\图片\展会照片\IMG_6666.JPGIMG_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各个展会资料\4-筑博会\2021筑博会\图片\展会照片\IMG_6666.JPGIMG_6666"/>
                          <pic:cNvPicPr>
                            <a:picLocks noChangeAspect="1"/>
                          </pic:cNvPicPr>
                        </pic:nvPicPr>
                        <pic:blipFill>
                          <a:blip r:embed="rId15"/>
                          <a:srcRect t="21364"/>
                          <a:stretch>
                            <a:fillRect/>
                          </a:stretch>
                        </pic:blipFill>
                        <pic:spPr>
                          <a:xfrm>
                            <a:off x="0" y="0"/>
                            <a:ext cx="1327785" cy="927100"/>
                          </a:xfrm>
                          <a:prstGeom prst="rect">
                            <a:avLst/>
                          </a:prstGeom>
                          <a:effectLst/>
                        </pic:spPr>
                      </pic:pic>
                    </a:graphicData>
                  </a:graphic>
                </wp:anchor>
              </w:drawing>
            </w:r>
          </w:p>
        </w:tc>
      </w:tr>
    </w:tbl>
    <w:p>
      <w:pPr>
        <w:pStyle w:val="2"/>
        <w:ind w:left="0" w:leftChars="0" w:firstLine="0" w:firstLineChars="0"/>
        <w:rPr>
          <w:rFonts w:hint="default" w:asciiTheme="minorEastAsia" w:hAnsiTheme="minorEastAsia" w:cstheme="minorEastAsia"/>
          <w:sz w:val="36"/>
          <w:szCs w:val="36"/>
          <w:lang w:val="en-US" w:eastAsia="zh-CN"/>
        </w:rPr>
      </w:pPr>
    </w:p>
    <w:sectPr>
      <w:footerReference r:id="rId5" w:type="default"/>
      <w:pgSz w:w="11906" w:h="16838"/>
      <w:pgMar w:top="1040" w:right="1633" w:bottom="1538" w:left="1633"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pBdr>
        <w:bottom w:val="none" w:color="auto" w:sz="0" w:space="1"/>
      </w:pBdr>
      <w:shd w:val="clear"/>
      <w:kinsoku/>
      <w:wordWrap/>
      <w:overflowPunct/>
      <w:topLinePunct w:val="0"/>
      <w:autoSpaceDE/>
      <w:autoSpaceDN/>
      <w:bidi w:val="0"/>
      <w:adjustRightInd/>
      <w:snapToGrid w:val="0"/>
      <w:spacing w:line="240" w:lineRule="auto"/>
      <w:ind w:firstLine="210" w:firstLineChars="100"/>
      <w:textAlignment w:val="auto"/>
      <w:rPr>
        <w:rFonts w:hint="eastAsia" w:ascii="黑体" w:hAnsi="黑体" w:eastAsia="黑体" w:cs="黑体"/>
        <w:b w:val="0"/>
        <w:bCs w:val="0"/>
        <w:color w:val="256DB7"/>
        <w:sz w:val="21"/>
        <w:szCs w:val="21"/>
        <w:u w:val="none"/>
        <w:lang w:val="en-US" w:eastAsia="zh-CN"/>
      </w:rPr>
    </w:pPr>
    <w:r>
      <w:rPr>
        <w:rFonts w:hint="eastAsia" w:ascii="黑体" w:hAnsi="黑体" w:eastAsia="黑体" w:cs="黑体"/>
        <w:b w:val="0"/>
        <w:bCs w:val="0"/>
        <w:color w:val="256DB7"/>
        <w:sz w:val="21"/>
        <w:szCs w:val="21"/>
        <w:u w:val="none"/>
        <w:lang w:val="en-US" w:eastAsia="zh-CN"/>
      </w:rPr>
      <w:t>第四届中国（长春）筑博会</w:t>
    </w:r>
  </w:p>
  <w:p>
    <w:pPr>
      <w:pStyle w:val="8"/>
      <w:pBdr>
        <w:bottom w:val="thinThickThinSmallGap" w:color="auto" w:sz="18"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34A2E"/>
    <w:multiLevelType w:val="singleLevel"/>
    <w:tmpl w:val="25434A2E"/>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yMGY1ZWUxZTQyMjM3ZTAxMWJlODYzNmQ2NGE2MjUifQ=="/>
  </w:docVars>
  <w:rsids>
    <w:rsidRoot w:val="79FF30E5"/>
    <w:rsid w:val="019209B6"/>
    <w:rsid w:val="04773F09"/>
    <w:rsid w:val="069B5B52"/>
    <w:rsid w:val="06E31570"/>
    <w:rsid w:val="082F4B56"/>
    <w:rsid w:val="0AB81B08"/>
    <w:rsid w:val="0EB54AFE"/>
    <w:rsid w:val="108F584B"/>
    <w:rsid w:val="128D7DAD"/>
    <w:rsid w:val="1A825F6E"/>
    <w:rsid w:val="1AB87BCF"/>
    <w:rsid w:val="1BB73D08"/>
    <w:rsid w:val="1EF171E6"/>
    <w:rsid w:val="1F9C47AA"/>
    <w:rsid w:val="1FEA6E60"/>
    <w:rsid w:val="20132602"/>
    <w:rsid w:val="25153705"/>
    <w:rsid w:val="27D543D2"/>
    <w:rsid w:val="27E30E7C"/>
    <w:rsid w:val="28A53AB2"/>
    <w:rsid w:val="2B2E253A"/>
    <w:rsid w:val="2FDD2A70"/>
    <w:rsid w:val="2FDE05A4"/>
    <w:rsid w:val="33FE677E"/>
    <w:rsid w:val="34E56338"/>
    <w:rsid w:val="35506A4D"/>
    <w:rsid w:val="366B2529"/>
    <w:rsid w:val="36A47C19"/>
    <w:rsid w:val="36C74610"/>
    <w:rsid w:val="37B65180"/>
    <w:rsid w:val="38BF2637"/>
    <w:rsid w:val="38E732E8"/>
    <w:rsid w:val="395F05C0"/>
    <w:rsid w:val="39B80516"/>
    <w:rsid w:val="3BBF11E3"/>
    <w:rsid w:val="491A0102"/>
    <w:rsid w:val="494020F1"/>
    <w:rsid w:val="49CC1654"/>
    <w:rsid w:val="4A357707"/>
    <w:rsid w:val="4A5E51AE"/>
    <w:rsid w:val="4C8F760E"/>
    <w:rsid w:val="4E176BBC"/>
    <w:rsid w:val="4FAD28A5"/>
    <w:rsid w:val="50DF34BA"/>
    <w:rsid w:val="55101DB2"/>
    <w:rsid w:val="566C7BC6"/>
    <w:rsid w:val="584C097C"/>
    <w:rsid w:val="5F325C0A"/>
    <w:rsid w:val="617C7028"/>
    <w:rsid w:val="64B470B0"/>
    <w:rsid w:val="67C23BEB"/>
    <w:rsid w:val="687D75D3"/>
    <w:rsid w:val="699D099B"/>
    <w:rsid w:val="6A4D7AFE"/>
    <w:rsid w:val="6B3D1532"/>
    <w:rsid w:val="6B83035E"/>
    <w:rsid w:val="6C433F17"/>
    <w:rsid w:val="6D49710E"/>
    <w:rsid w:val="76412443"/>
    <w:rsid w:val="767D0908"/>
    <w:rsid w:val="77F30DDB"/>
    <w:rsid w:val="79FF30E5"/>
    <w:rsid w:val="7B0115BD"/>
    <w:rsid w:val="7CC6304A"/>
    <w:rsid w:val="7EC206CE"/>
    <w:rsid w:val="7F3E6F2C"/>
    <w:rsid w:val="7F481E32"/>
    <w:rsid w:val="7F7134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0"/>
    </w:pPr>
    <w:rPr>
      <w:rFonts w:ascii="微软雅黑" w:hAnsi="微软雅黑" w:eastAsia="宋体" w:cs="微软雅黑"/>
      <w:b/>
      <w:kern w:val="44"/>
      <w:sz w:val="48"/>
      <w:szCs w:val="48"/>
      <w:lang w:bidi="ar"/>
    </w:rPr>
  </w:style>
  <w:style w:type="paragraph" w:styleId="4">
    <w:name w:val="heading 2"/>
    <w:basedOn w:val="1"/>
    <w:next w:val="1"/>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1"/>
    </w:pPr>
    <w:rPr>
      <w:rFonts w:hint="eastAsia" w:ascii="微软雅黑" w:hAnsi="微软雅黑" w:eastAsia="黑体" w:cs="微软雅黑"/>
      <w:kern w:val="0"/>
      <w:szCs w:val="36"/>
      <w:lang w:bidi="ar"/>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NormalIndent"/>
    <w:basedOn w:val="1"/>
    <w:autoRedefine/>
    <w:qFormat/>
    <w:uiPriority w:val="0"/>
    <w:pPr>
      <w:ind w:firstLine="200" w:firstLineChars="200"/>
      <w:jc w:val="both"/>
      <w:textAlignment w:val="baseline"/>
    </w:pPr>
  </w:style>
  <w:style w:type="paragraph" w:styleId="6">
    <w:name w:val="Body Text Indent"/>
    <w:basedOn w:val="1"/>
    <w:qFormat/>
    <w:uiPriority w:val="0"/>
    <w:pPr>
      <w:spacing w:line="640" w:lineRule="exact"/>
      <w:ind w:firstLine="660"/>
    </w:pPr>
    <w:rPr>
      <w:rFonts w:ascii="仿宋_GB2312" w:hAnsi="华文中宋" w:eastAsia="仿宋_GB2312"/>
      <w:sz w:val="32"/>
      <w:szCs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customStyle="1" w:styleId="1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潮州市直及下属单位</Company>
  <Pages>8</Pages>
  <Words>2285</Words>
  <Characters>2409</Characters>
  <Lines>0</Lines>
  <Paragraphs>0</Paragraphs>
  <TotalTime>5</TotalTime>
  <ScaleCrop>false</ScaleCrop>
  <LinksUpToDate>false</LinksUpToDate>
  <CharactersWithSpaces>2484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2023-03-02T05:45:00Z</dcterms:created>
  <dc:creator>Administrator</dc:creator>
  <cp:lastModifiedBy>筑博会</cp:lastModifiedBy>
  <cp:lastPrinted>2024-03-18T01:12:00Z</cp:lastPrinted>
  <dcterms:modified xsi:type="dcterms:W3CDTF">2024-05-10T07:13:00Z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E05BA8C6860F47D28DEF063EDE788FA8_13</vt:lpwstr>
  </property>
</Properties>
</file>