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黑体" w:hAnsi="黑体" w:eastAsia="黑体" w:cs="黑体"/>
          <w:b/>
          <w:bCs/>
          <w:sz w:val="48"/>
          <w:szCs w:val="48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-349250</wp:posOffset>
            </wp:positionV>
            <wp:extent cx="867410" cy="750570"/>
            <wp:effectExtent l="0" t="0" r="8890" b="1143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48"/>
          <w:szCs w:val="48"/>
        </w:rPr>
        <w:t>2024大连国际环保产业博览会</w:t>
      </w:r>
    </w:p>
    <w:p>
      <w:pPr>
        <w:jc w:val="right"/>
        <w:rPr>
          <w:rFonts w:ascii="黑体" w:hAnsi="黑体" w:eastAsia="黑体" w:cs="黑体"/>
          <w:sz w:val="24"/>
          <w:shd w:val="clear" w:color="auto" w:fill="FFFFFF"/>
        </w:rPr>
      </w:pPr>
      <w:r>
        <w:rPr>
          <w:rFonts w:hint="eastAsia" w:ascii="黑体" w:hAnsi="黑体" w:eastAsia="黑体" w:cs="黑体"/>
          <w:sz w:val="24"/>
          <w:shd w:val="clear" w:color="auto" w:fill="FFFFFF"/>
        </w:rPr>
        <w:t>2024 Dalian International Environmental Protection Industry Expo</w:t>
      </w:r>
    </w:p>
    <w:p>
      <w:pPr>
        <w:jc w:val="center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展会地点：</w:t>
      </w:r>
      <w:r>
        <w:rPr>
          <w:rFonts w:hint="eastAsia" w:ascii="黑体" w:hAnsi="黑体" w:eastAsia="黑体" w:cs="黑体"/>
          <w:kern w:val="0"/>
          <w:sz w:val="28"/>
          <w:szCs w:val="28"/>
        </w:rPr>
        <w:t>大连自贸区国际会展中心</w: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148590</wp:posOffset>
            </wp:positionV>
            <wp:extent cx="1180465" cy="1475740"/>
            <wp:effectExtent l="0" t="0" r="635" b="10160"/>
            <wp:wrapNone/>
            <wp:docPr id="8" name="图片 8" descr="吉祥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吉祥物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展会时间：</w:t>
      </w:r>
      <w:r>
        <w:rPr>
          <w:rFonts w:hint="eastAsia" w:ascii="黑体" w:hAnsi="黑体" w:eastAsia="黑体" w:cs="黑体"/>
          <w:kern w:val="0"/>
          <w:sz w:val="28"/>
          <w:szCs w:val="28"/>
        </w:rPr>
        <w:t>2024年9月25日—27日</w: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— 创新 - 绿色 - 发展 —</w: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sz w:val="24"/>
          <w:shd w:val="clear" w:color="auto" w:fill="FFFFFF"/>
        </w:rPr>
      </w:pPr>
      <w:r>
        <w:rPr>
          <w:sz w:val="24"/>
        </w:rPr>
        <w:pict>
          <v:shape id="_x0000_s1026" o:spid="_x0000_s1026" o:spt="202" type="#_x0000_t202" style="position:absolute;left:0pt;margin-left:206.85pt;margin-top:5.15pt;height:421.85pt;width:236.9pt;z-index:251660288;mso-width-relative:page;mso-height-relative:page;" filled="f" stroked="t" coordsize="21600,21600" o:gfxdata="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8DoInZAAAACgEA&#10;AA8AAAAAAAAAAQAgAAAAIgAAAGRycy9kb3ducmV2LnhtbFBLAQIUABQAAAAIAIdO4kB6e/ucUgIA&#10;AJEEAAAOAAAAAAAAAAEAIAAAACgBAABkcnMvZTJvRG9jLnhtbFBLBQYAAAAABgAGAFkBAADsBQAA&#10;AAA=&#10;">
            <v:path/>
            <v:fill on="f" focussize="0,0"/>
            <v:stroke weight="3pt" color="#000000" joinstyle="round"/>
            <v:imagedata o:title=""/>
            <o:lock v:ext="edit"/>
            <v:textbox>
              <w:txbxContent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8"/>
                      <w:szCs w:val="28"/>
                    </w:rPr>
                    <w:t>协办单位</w:t>
                  </w: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辽宁省环保产业协会</w:t>
                  </w: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全国副省级城市环境保护产业协会</w:t>
                  </w: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-自律联盟</w:t>
                  </w: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日本贸易振兴公社</w:t>
                  </w: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大韩贸易投资振兴公社</w:t>
                  </w: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美国伊利诺伊州中国代表处</w:t>
                  </w: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8"/>
                      <w:szCs w:val="28"/>
                    </w:rPr>
                    <w:t>承办单位</w:t>
                  </w: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大连华展展览服务有限公司</w:t>
                  </w: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大连哈勃展览展示服务有限公司</w:t>
                  </w: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8"/>
                      <w:szCs w:val="28"/>
                    </w:rPr>
                    <w:t>网址</w:t>
                  </w: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color w:val="00B05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http://www.dlhuanbao.cn/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sz w:val="24"/>
        </w:rPr>
        <w:pict>
          <v:shape id="_x0000_s1027" o:spid="_x0000_s1027" o:spt="202" type="#_x0000_t202" style="position:absolute;left:0pt;margin-left:-40.75pt;margin-top:3.8pt;height:421.85pt;width:236.9pt;z-index:251659264;mso-width-relative:page;mso-height-relative:page;" filled="f" stroked="t" coordsize="21600,21600" o:gfxdata="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bHAENkAAAAJAQAADwAAAAAAAAABACAAAAAiAAAAZHJzL2Rvd25yZXYueG1sUEsBAhQAFAAAAAgA&#10;h07iQEX2X6FdAgAAnAQAAA4AAAAAAAAAAQAgAAAAKAEAAGRycy9lMm9Eb2MueG1sUEsFBgAAAAAG&#10;AAYAWQEAAPcFAAAAAA==&#10;">
            <v:path/>
            <v:fill on="f" focussize="0,0"/>
            <v:stroke weight="3pt" color="#000000" joinstyle="round"/>
            <v:imagedata o:title=""/>
            <o:lock v:ext="edit"/>
            <v:textbox>
              <w:txbxContent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8"/>
                      <w:szCs w:val="28"/>
                    </w:rPr>
                    <w:t>·指导单位·</w:t>
                  </w: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大连市生态环境局</w:t>
                  </w: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8"/>
                      <w:szCs w:val="28"/>
                    </w:rPr>
                    <w:t>·主办单位·</w:t>
                  </w: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大连市环境保护产业协会</w:t>
                  </w: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8"/>
                      <w:szCs w:val="28"/>
                    </w:rPr>
                    <w:t>·支持单位·</w:t>
                  </w: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大连市工业和信息化局</w:t>
                  </w: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大连市市场监督管理局</w:t>
                  </w: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（大连市知识产权局）</w:t>
                  </w: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大连市科学技术局</w:t>
                  </w: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ascii="黑体" w:hAnsi="黑体" w:eastAsia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 w:val="28"/>
                      <w:szCs w:val="28"/>
                    </w:rPr>
                    <w:t>大连国际商会</w:t>
                  </w:r>
                </w:p>
                <w:p/>
              </w:txbxContent>
            </v:textbox>
          </v:shape>
        </w:pic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b/>
          <w:bCs/>
          <w:sz w:val="2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shd w:val="clear" w:color="auto" w:fill="FFFFFF"/>
        </w:rPr>
        <w:t>—— 展品范围 ——</w:t>
      </w:r>
      <w:r>
        <w:rPr>
          <w:rFonts w:hint="eastAsia" w:ascii="黑体" w:hAnsi="黑体" w:eastAsia="黑体" w:cs="黑体"/>
          <w:b/>
          <w:bCs/>
          <w:sz w:val="24"/>
          <w:shd w:val="clear" w:color="auto" w:fill="FFFFFF"/>
        </w:rPr>
        <w:t xml:space="preserve"> </w:t>
      </w:r>
    </w:p>
    <w:p>
      <w:pPr>
        <w:widowControl/>
        <w:spacing w:line="560" w:lineRule="exact"/>
        <w:rPr>
          <w:rFonts w:ascii="黑体" w:hAnsi="黑体" w:eastAsia="黑体" w:cs="黑体"/>
          <w:sz w:val="24"/>
          <w:shd w:val="clear" w:color="auto" w:fill="FFFFFF"/>
        </w:rPr>
      </w:pPr>
      <w:r>
        <w:rPr>
          <w:rFonts w:hint="eastAsia" w:ascii="黑体" w:hAnsi="黑体" w:eastAsia="黑体" w:cs="黑体"/>
          <w:sz w:val="24"/>
          <w:shd w:val="clear" w:color="auto" w:fill="FFFFFF"/>
        </w:rPr>
        <w:t>1、综合治理：环综治理工程、第三方环保服务、环综投资与建设、环综项目运营管理 、环综治理PPP服务；</w:t>
      </w:r>
    </w:p>
    <w:p>
      <w:pPr>
        <w:widowControl/>
        <w:spacing w:line="560" w:lineRule="exact"/>
        <w:rPr>
          <w:rFonts w:ascii="黑体" w:hAnsi="黑体" w:eastAsia="黑体" w:cs="黑体"/>
          <w:sz w:val="24"/>
          <w:shd w:val="clear" w:color="auto" w:fill="FFFFFF"/>
        </w:rPr>
      </w:pPr>
      <w:r>
        <w:rPr>
          <w:rFonts w:hint="eastAsia" w:ascii="黑体" w:hAnsi="黑体" w:eastAsia="黑体" w:cs="黑体"/>
          <w:sz w:val="24"/>
          <w:shd w:val="clear" w:color="auto" w:fill="FFFFFF"/>
        </w:rPr>
        <w:t>2、水处理泵管阀：供水、城镇污水、工业废水、农村污水、地下水污染、黑臭水体、  河湖流域、水资源利用 、泵、阀门、智能供水设备、管道及管件、执行机构、泵管阀配套产品、电机；</w:t>
      </w:r>
    </w:p>
    <w:p>
      <w:pPr>
        <w:widowControl/>
        <w:spacing w:line="560" w:lineRule="exact"/>
        <w:rPr>
          <w:rFonts w:ascii="黑体" w:hAnsi="黑体" w:eastAsia="黑体" w:cs="黑体"/>
          <w:sz w:val="24"/>
          <w:shd w:val="clear" w:color="auto" w:fill="FFFFFF"/>
        </w:rPr>
      </w:pPr>
      <w:r>
        <w:rPr>
          <w:rFonts w:hint="eastAsia" w:ascii="黑体" w:hAnsi="黑体" w:eastAsia="黑体" w:cs="黑体"/>
          <w:sz w:val="24"/>
          <w:shd w:val="clear" w:color="auto" w:fill="FFFFFF"/>
        </w:rPr>
        <w:t>3、大气：工业烟气、挥发性有机物、汽车尾气颗粒物排放、 恶臭污染 ；</w:t>
      </w:r>
    </w:p>
    <w:p>
      <w:pPr>
        <w:widowControl/>
        <w:spacing w:line="560" w:lineRule="exact"/>
        <w:rPr>
          <w:rFonts w:ascii="黑体" w:hAnsi="黑体" w:eastAsia="黑体" w:cs="黑体"/>
          <w:sz w:val="24"/>
          <w:shd w:val="clear" w:color="auto" w:fill="FFFFFF"/>
        </w:rPr>
      </w:pPr>
      <w:r>
        <w:rPr>
          <w:rFonts w:hint="eastAsia" w:ascii="黑体" w:hAnsi="黑体" w:eastAsia="黑体" w:cs="黑体"/>
          <w:sz w:val="24"/>
          <w:shd w:val="clear" w:color="auto" w:fill="FFFFFF"/>
        </w:rPr>
        <w:t>4、智慧环保：智慧水务运营管理平台、智慧管网监测、智慧园区、智慧水利、智慧物联；</w:t>
      </w:r>
    </w:p>
    <w:p>
      <w:pPr>
        <w:widowControl/>
        <w:spacing w:line="560" w:lineRule="exact"/>
        <w:rPr>
          <w:rFonts w:ascii="黑体" w:hAnsi="黑体" w:eastAsia="黑体" w:cs="黑体"/>
          <w:sz w:val="24"/>
          <w:shd w:val="clear" w:color="auto" w:fill="FFFFFF"/>
        </w:rPr>
      </w:pPr>
      <w:r>
        <w:rPr>
          <w:rFonts w:hint="eastAsia" w:ascii="黑体" w:hAnsi="黑体" w:eastAsia="黑体" w:cs="黑体"/>
          <w:sz w:val="24"/>
          <w:shd w:val="clear" w:color="auto" w:fill="FFFFFF"/>
        </w:rPr>
        <w:t>5、环境监测：水质监测、大气监测、土壤监测、生态监测、噪声监测、水文监测、农业污染监测、智慧监测系统；</w:t>
      </w:r>
    </w:p>
    <w:p>
      <w:pPr>
        <w:widowControl/>
        <w:spacing w:line="560" w:lineRule="exact"/>
        <w:rPr>
          <w:rFonts w:ascii="黑体" w:hAnsi="黑体" w:eastAsia="黑体" w:cs="黑体"/>
          <w:sz w:val="24"/>
          <w:shd w:val="clear" w:color="auto" w:fill="FFFFFF"/>
        </w:rPr>
      </w:pPr>
      <w:r>
        <w:rPr>
          <w:rFonts w:hint="eastAsia" w:ascii="黑体" w:hAnsi="黑体" w:eastAsia="黑体" w:cs="黑体"/>
          <w:sz w:val="24"/>
          <w:shd w:val="clear" w:color="auto" w:fill="FFFFFF"/>
        </w:rPr>
        <w:t>6、资源再生：工业油、工业废物、城市垃圾、环卫设施、餐厨垃圾、危险固废、医用废物、放射性固废、电子废弃物；</w:t>
      </w:r>
    </w:p>
    <w:p>
      <w:pPr>
        <w:widowControl/>
        <w:spacing w:line="560" w:lineRule="exact"/>
        <w:rPr>
          <w:rFonts w:ascii="黑体" w:hAnsi="黑体" w:eastAsia="黑体" w:cs="黑体"/>
          <w:sz w:val="24"/>
          <w:shd w:val="clear" w:color="auto" w:fill="FFFFFF"/>
        </w:rPr>
      </w:pPr>
      <w:r>
        <w:rPr>
          <w:rFonts w:hint="eastAsia" w:ascii="黑体" w:hAnsi="黑体" w:eastAsia="黑体" w:cs="黑体"/>
          <w:sz w:val="24"/>
          <w:shd w:val="clear" w:color="auto" w:fill="FFFFFF"/>
        </w:rPr>
        <w:t>7、土壤：农田土壤修复、工业场地修复、土壤环境质量、土壤污染评估；</w:t>
      </w:r>
    </w:p>
    <w:p>
      <w:pPr>
        <w:widowControl/>
        <w:spacing w:line="560" w:lineRule="exact"/>
        <w:rPr>
          <w:rFonts w:ascii="黑体" w:hAnsi="黑体" w:eastAsia="黑体" w:cs="黑体"/>
          <w:sz w:val="24"/>
          <w:shd w:val="clear" w:color="auto" w:fill="FFFFFF"/>
        </w:rPr>
      </w:pPr>
      <w:r>
        <w:rPr>
          <w:rFonts w:hint="eastAsia" w:ascii="黑体" w:hAnsi="黑体" w:eastAsia="黑体" w:cs="黑体"/>
          <w:sz w:val="24"/>
          <w:shd w:val="clear" w:color="auto" w:fill="FFFFFF"/>
        </w:rPr>
        <w:t>8、噪声：工业噪声控制 人居噪声污染；</w:t>
      </w:r>
    </w:p>
    <w:p>
      <w:pPr>
        <w:widowControl/>
        <w:spacing w:line="560" w:lineRule="exact"/>
        <w:rPr>
          <w:rFonts w:ascii="黑体" w:hAnsi="黑体" w:eastAsia="黑体" w:cs="黑体"/>
          <w:sz w:val="24"/>
          <w:shd w:val="clear" w:color="auto" w:fill="FFFFFF"/>
        </w:rPr>
      </w:pPr>
      <w:r>
        <w:rPr>
          <w:rFonts w:hint="eastAsia" w:ascii="黑体" w:hAnsi="黑体" w:eastAsia="黑体" w:cs="黑体"/>
          <w:sz w:val="24"/>
          <w:shd w:val="clear" w:color="auto" w:fill="FFFFFF"/>
        </w:rPr>
        <w:t>9、节能与新能源技术：节能节水节电产品和技术、 太阳能、 风能、 水能、 生物质能、沼气 、清洁能源 、建筑节能；</w: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sz w:val="2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shd w:val="clear" w:color="auto" w:fill="FFFFFF"/>
        </w:rPr>
        <w:t>—— 目标观众 ——</w:t>
      </w:r>
    </w:p>
    <w:p>
      <w:pPr>
        <w:widowControl/>
        <w:spacing w:line="560" w:lineRule="exact"/>
        <w:rPr>
          <w:rFonts w:ascii="黑体" w:hAnsi="黑体" w:eastAsia="黑体" w:cs="黑体"/>
          <w:sz w:val="24"/>
          <w:shd w:val="clear" w:color="auto" w:fill="FFFFFF"/>
        </w:rPr>
      </w:pPr>
      <w:r>
        <w:rPr>
          <w:rFonts w:hint="eastAsia" w:ascii="黑体" w:hAnsi="黑体" w:eastAsia="黑体" w:cs="黑体"/>
          <w:sz w:val="24"/>
          <w:shd w:val="clear" w:color="auto" w:fill="FFFFFF"/>
        </w:rPr>
        <w:t>市容市政、地方市政公司、管线规划、设计院、协会院校、环境监测中心、环科院等政府主管机构、水处理工程公司、环境工程公司、产业园区、火电、石油、化工、钢铁、铸造、水泥、煤炭、造纸、印染、污水处理厂、垃圾焚烧厂、冶金、机械、纺织、涂装、生物、制药、食品、饮料、玻璃、医院、天然气、家具、建材、皮革、塑料、太阳能、暖通、造纸、酿造、酒店等对口专业观众到会参观采购。</w: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sz w:val="2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shd w:val="clear" w:color="auto" w:fill="FFFFFF"/>
        </w:rPr>
        <w:t>—— 展会宣传 ——</w:t>
      </w:r>
    </w:p>
    <w:p>
      <w:pPr>
        <w:widowControl/>
        <w:spacing w:line="56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1.线上宣传</w:t>
      </w:r>
    </w:p>
    <w:p>
      <w:pPr>
        <w:widowControl/>
        <w:spacing w:line="56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（1）官方网站与社交媒体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建立并维护功能齐全、信息丰富的官方网站，利用微信、微博等社交平台，定期发布展会动态、展商信息、亮点预告等。</w:t>
      </w:r>
    </w:p>
    <w:p>
      <w:pPr>
        <w:widowControl/>
        <w:numPr>
          <w:ilvl w:val="0"/>
          <w:numId w:val="1"/>
        </w:numPr>
        <w:spacing w:line="56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数字广告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在行业相关网站、专业论坛、搜索引擎投放精准广告，使用SEO优化提升在线可见度。</w:t>
      </w:r>
    </w:p>
    <w:p>
      <w:pPr>
        <w:widowControl/>
        <w:numPr>
          <w:ilvl w:val="0"/>
          <w:numId w:val="1"/>
        </w:numPr>
        <w:spacing w:line="56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新媒体硬广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在东北及华北地区投放抖音、快手、今日头条、朋友圈等平台的硬广，增加展会曝光度。</w:t>
      </w:r>
    </w:p>
    <w:p>
      <w:pPr>
        <w:widowControl/>
        <w:numPr>
          <w:ilvl w:val="0"/>
          <w:numId w:val="1"/>
        </w:numPr>
        <w:spacing w:line="56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网络直播与视频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通过抖音、视频号等平台进行展会直播、环保技术讲解等。</w:t>
      </w:r>
    </w:p>
    <w:p>
      <w:pPr>
        <w:widowControl/>
        <w:spacing w:line="56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2.线下宣传</w:t>
      </w:r>
    </w:p>
    <w:p>
      <w:pPr>
        <w:widowControl/>
        <w:spacing w:line="56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（1）同类展会现场推广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在国内外相关环保会议、展览会上设立宣传展位、派发传单等，邀请专业人士。</w:t>
      </w:r>
    </w:p>
    <w:p>
      <w:pPr>
        <w:widowControl/>
        <w:numPr>
          <w:ilvl w:val="0"/>
          <w:numId w:val="2"/>
        </w:numPr>
        <w:spacing w:line="56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直邮邀请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向重点目标观众和参展商邮寄精美的邀请函及展会资料。</w:t>
      </w:r>
    </w:p>
    <w:p>
      <w:pPr>
        <w:widowControl/>
        <w:numPr>
          <w:ilvl w:val="0"/>
          <w:numId w:val="2"/>
        </w:numPr>
        <w:spacing w:line="56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户外广告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在大连及周边城市的主要交通枢纽、商业中心投放户外广告牌、LED大屏广告。</w:t>
      </w: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/>
          <w:bCs/>
          <w:sz w:val="28"/>
          <w:szCs w:val="28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b/>
          <w:bCs/>
          <w:sz w:val="28"/>
          <w:szCs w:val="28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sz w:val="2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shd w:val="clear" w:color="auto" w:fill="FFFFFF"/>
        </w:rPr>
        <w:t>—— 合作媒体 ——</w:t>
      </w:r>
    </w:p>
    <w:p>
      <w:pPr>
        <w:widowControl/>
        <w:snapToGrid w:val="0"/>
        <w:spacing w:line="140" w:lineRule="atLeas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与行业主流媒体、专业杂志、电视广播及网络媒体建立深度合作关系，发布展会新闻、专题报道。邀请记者现场采访，提升媒体报道量与质量。在人民网、光明网、人民日报、光明日报、新华网、腾讯、网易、新浪、搜狐、辽宁日报、大连新闻、大连发布、金普发布、大连晚报、半岛晨报等央级、省级、地方级新闻媒体报道展会盛况。</w:t>
      </w:r>
    </w:p>
    <w:p>
      <w:pPr>
        <w:widowControl/>
        <w:tabs>
          <w:tab w:val="left" w:pos="1674"/>
        </w:tabs>
        <w:snapToGrid w:val="0"/>
        <w:spacing w:line="140" w:lineRule="atLeast"/>
        <w:rPr>
          <w:rFonts w:ascii="黑体" w:hAnsi="黑体" w:eastAsia="黑体" w:cs="黑体"/>
          <w:sz w:val="24"/>
          <w:shd w:val="clear" w:color="auto" w:fill="FFFFFF"/>
        </w:rPr>
      </w:pPr>
      <w:r>
        <w:rPr>
          <w:rFonts w:hint="eastAsia" w:ascii="黑体" w:hAnsi="黑体" w:eastAsia="黑体" w:cs="黑体"/>
          <w:sz w:val="24"/>
          <w:shd w:val="clear" w:color="auto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-294005</wp:posOffset>
            </wp:positionH>
            <wp:positionV relativeFrom="paragraph">
              <wp:posOffset>189230</wp:posOffset>
            </wp:positionV>
            <wp:extent cx="5972175" cy="2148205"/>
            <wp:effectExtent l="0" t="0" r="9525" b="4445"/>
            <wp:wrapNone/>
            <wp:docPr id="6" name="图片 6" descr="合作媒体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合作媒体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z w:val="24"/>
          <w:shd w:val="clear" w:color="auto" w:fill="FFFFFF"/>
        </w:rPr>
        <w:tab/>
      </w:r>
    </w:p>
    <w:p>
      <w:pPr>
        <w:widowControl/>
        <w:spacing w:line="560" w:lineRule="exact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sz w:val="2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shd w:val="clear" w:color="auto" w:fill="FFFFFF"/>
        </w:rPr>
        <w:t>—— 品牌展商 ——</w:t>
      </w: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  <w:r>
        <w:rPr>
          <w:rFonts w:hint="eastAsia" w:ascii="黑体" w:hAnsi="黑体" w:eastAsia="黑体" w:cs="黑体"/>
          <w:sz w:val="24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119380</wp:posOffset>
            </wp:positionV>
            <wp:extent cx="5245735" cy="1428115"/>
            <wp:effectExtent l="0" t="0" r="12065" b="635"/>
            <wp:wrapNone/>
            <wp:docPr id="5" name="图片 5" descr="品牌展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品牌展商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  <w:r>
        <w:rPr>
          <w:rFonts w:hint="eastAsia" w:ascii="黑体" w:hAnsi="黑体" w:eastAsia="黑体" w:cs="黑体"/>
          <w:sz w:val="24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83185</wp:posOffset>
            </wp:positionV>
            <wp:extent cx="5245735" cy="3708400"/>
            <wp:effectExtent l="0" t="0" r="12065" b="6350"/>
            <wp:wrapNone/>
            <wp:docPr id="4" name="图片 4" descr="品牌展商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品牌展商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sz w:val="2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shd w:val="clear" w:color="auto" w:fill="FFFFFF"/>
        </w:rPr>
        <w:t>—— 展位价格 ——</w:t>
      </w:r>
    </w:p>
    <w:p>
      <w:pPr>
        <w:tabs>
          <w:tab w:val="left" w:pos="3047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标准展位（3m*3m）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指导价格：8000元人民币（主通道两侧加价20%）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标准展位配备：三面展板、楣板、一张洽谈桌、两把折叠椅、两只射灯及一个5A电源插座 (仅限于500W以内小功率视听设备使用）。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特装展位（净地）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指导价格：800元/平方米（不少于36平方米，主通道两侧加价20%）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注：展台特别装修由参展商自理。</w:t>
      </w: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sz w:val="2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shd w:val="clear" w:color="auto" w:fill="FFFFFF"/>
        </w:rPr>
        <w:t>—— 联系方式 ——</w:t>
      </w:r>
    </w:p>
    <w:p>
      <w:pPr>
        <w:widowControl/>
        <w:rPr>
          <w:rFonts w:hint="default" w:ascii="黑体" w:hAnsi="黑体" w:eastAsia="黑体" w:cs="黑体"/>
          <w:sz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24"/>
          <w:shd w:val="clear" w:color="auto" w:fill="FFFFFF"/>
          <w:lang w:val="en-US" w:eastAsia="zh-CN"/>
        </w:rPr>
        <w:t>姓名：王佳宁</w:t>
      </w:r>
    </w:p>
    <w:p>
      <w:pPr>
        <w:widowControl/>
        <w:rPr>
          <w:rFonts w:hint="eastAsia" w:ascii="黑体" w:hAnsi="黑体" w:eastAsia="黑体" w:cs="黑体"/>
          <w:sz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24"/>
          <w:shd w:val="clear" w:color="auto" w:fill="FFFFFF"/>
          <w:lang w:val="en-US" w:eastAsia="zh-CN"/>
        </w:rPr>
        <w:t>手机：18841009327（同微信）</w:t>
      </w:r>
    </w:p>
    <w:p>
      <w:pPr>
        <w:widowControl/>
        <w:rPr>
          <w:rFonts w:hint="default" w:ascii="黑体" w:hAnsi="黑体" w:eastAsia="黑体" w:cs="黑体"/>
          <w:sz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24"/>
          <w:shd w:val="clear" w:color="auto" w:fill="FFFFFF"/>
          <w:lang w:val="en-US" w:eastAsia="zh-CN"/>
        </w:rPr>
        <w:t>Q Q：1768197260</w:t>
      </w:r>
    </w:p>
    <w:p>
      <w:pPr>
        <w:widowControl/>
        <w:rPr>
          <w:rFonts w:hint="default" w:ascii="黑体" w:hAnsi="黑体" w:eastAsia="黑体" w:cs="黑体"/>
          <w:sz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24"/>
          <w:shd w:val="clear" w:color="auto" w:fill="FFFFFF"/>
          <w:lang w:val="en-US" w:eastAsia="zh-CN"/>
        </w:rPr>
        <w:t>邮箱：1768197260@qq.com</w:t>
      </w: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667E7F"/>
    <w:multiLevelType w:val="singleLevel"/>
    <w:tmpl w:val="26667E7F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C40DBE7"/>
    <w:multiLevelType w:val="singleLevel"/>
    <w:tmpl w:val="6C40DBE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NjM2U5OWI0MDk2YzU2NWIzMGFjZGE2ZmZhMTVjMDEifQ=="/>
  </w:docVars>
  <w:rsids>
    <w:rsidRoot w:val="66A15890"/>
    <w:rsid w:val="00590E6B"/>
    <w:rsid w:val="008E0D31"/>
    <w:rsid w:val="00D3347C"/>
    <w:rsid w:val="03A83188"/>
    <w:rsid w:val="04803D92"/>
    <w:rsid w:val="0AD7703E"/>
    <w:rsid w:val="1A075335"/>
    <w:rsid w:val="1ECF03DB"/>
    <w:rsid w:val="2B33083F"/>
    <w:rsid w:val="2F516D03"/>
    <w:rsid w:val="3732591B"/>
    <w:rsid w:val="393A2750"/>
    <w:rsid w:val="3B385475"/>
    <w:rsid w:val="3C035CDD"/>
    <w:rsid w:val="3DF9089B"/>
    <w:rsid w:val="4EAC6EE7"/>
    <w:rsid w:val="545D68D1"/>
    <w:rsid w:val="5B6A165F"/>
    <w:rsid w:val="66A15890"/>
    <w:rsid w:val="6A6D03E7"/>
    <w:rsid w:val="6DA87988"/>
    <w:rsid w:val="708C5793"/>
    <w:rsid w:val="71F723B0"/>
    <w:rsid w:val="75584C7D"/>
    <w:rsid w:val="780C128F"/>
    <w:rsid w:val="7C105077"/>
    <w:rsid w:val="7D9E26CD"/>
    <w:rsid w:val="F5FFB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</Words>
  <Characters>1305</Characters>
  <Lines>10</Lines>
  <Paragraphs>3</Paragraphs>
  <TotalTime>31</TotalTime>
  <ScaleCrop>false</ScaleCrop>
  <LinksUpToDate>false</LinksUpToDate>
  <CharactersWithSpaces>1530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2024-06-06T23:49:00Z</dcterms:created>
  <dc:creator>安静的小可乐</dc:creator>
  <cp:lastModifiedBy>王佳宁¥</cp:lastModifiedBy>
  <dcterms:modified xsi:type="dcterms:W3CDTF">2024-06-27T10:37:23Z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3100829015E94F7798249B510290B0A4_11</vt:lpwstr>
  </property>
</Properties>
</file>