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4长三角（嘉兴）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专精特新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企业新技术新产品展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览会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2024.12.11-13   嘉兴国际会展中心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专题展示：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新能源及新材料展区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人工智能及电子展区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default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节能环保技术装备展区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高端机械装备展区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新型工业零部件展区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生物健康医疗展区</w:t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default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highlight w:val="none"/>
          <w:lang w:val="en-US" w:eastAsia="zh-CN"/>
        </w:rPr>
        <w:t>深耕嘉兴 服务长三角 链接海外</w:t>
      </w:r>
    </w:p>
    <w:p>
      <w:pPr>
        <w:pStyle w:val="18"/>
        <w:spacing w:before="0" w:beforeAutospacing="0" w:after="0" w:afterAutospacing="0" w:line="375" w:lineRule="atLeast"/>
        <w:rPr>
          <w:rFonts w:hint="default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cs="宋体"/>
          <w:b/>
          <w:bCs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974080" cy="3846830"/>
            <wp:effectExtent l="0" t="0" r="7620" b="1270"/>
            <wp:docPr id="2" name="图片 2" descr="9eb60e68bbdec9cfc728d43e3f59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b60e68bbdec9cfc728d43e3f595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spacing w:before="0" w:beforeAutospacing="0" w:after="0" w:afterAutospacing="0" w:line="375" w:lineRule="atLeas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组织机构    </w:t>
      </w:r>
    </w:p>
    <w:p>
      <w:pPr>
        <w:ind w:firstLine="640" w:firstLineChars="200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单位：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中国中小企业协会</w:t>
      </w:r>
    </w:p>
    <w:p>
      <w:pPr>
        <w:pStyle w:val="2"/>
        <w:ind w:firstLine="640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主办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单位：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长三角（嘉兴）“专精特新”企业服务基地</w:t>
      </w:r>
    </w:p>
    <w:p>
      <w:pPr>
        <w:pStyle w:val="2"/>
        <w:ind w:firstLine="640" w:firstLineChars="200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      嘉兴市进出口商会</w:t>
      </w:r>
    </w:p>
    <w:p>
      <w:pPr>
        <w:pStyle w:val="2"/>
        <w:ind w:firstLine="640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协办单位：长三角G60科创走廊光伏协同创新产业联盟</w:t>
      </w:r>
    </w:p>
    <w:p>
      <w:pPr>
        <w:pStyle w:val="2"/>
        <w:ind w:firstLine="2240" w:firstLineChars="7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浙江省太阳能光伏行业协会</w:t>
      </w:r>
    </w:p>
    <w:p>
      <w:pPr>
        <w:pStyle w:val="2"/>
        <w:ind w:firstLine="2240" w:firstLineChars="7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嘉兴市光伏协会             </w:t>
      </w:r>
    </w:p>
    <w:p>
      <w:pPr>
        <w:pStyle w:val="2"/>
        <w:ind w:firstLine="2240" w:firstLineChars="7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嘉兴市节能协会</w:t>
      </w:r>
    </w:p>
    <w:p>
      <w:pPr>
        <w:pStyle w:val="2"/>
        <w:ind w:firstLine="2240" w:firstLineChars="7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嘉兴市长三角氢能产业促进会</w:t>
      </w:r>
    </w:p>
    <w:p>
      <w:pPr>
        <w:pStyle w:val="2"/>
        <w:ind w:firstLine="640" w:firstLineChars="200"/>
        <w:rPr>
          <w:rFonts w:hint="default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承办单位：长三角嘉兴专精特新企业服务有限公司</w:t>
      </w:r>
    </w:p>
    <w:p>
      <w:pPr>
        <w:numPr>
          <w:ilvl w:val="0"/>
          <w:numId w:val="0"/>
        </w:numPr>
        <w:ind w:firstLine="2240" w:firstLineChars="7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江西利仁会展服务有限公司</w:t>
      </w:r>
    </w:p>
    <w:p>
      <w:pPr>
        <w:pStyle w:val="2"/>
        <w:rPr>
          <w:rFonts w:hint="default" w:eastAsia="宋体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 xml:space="preserve">              特新会展服务（嘉兴）有限公司</w:t>
      </w:r>
    </w:p>
    <w:p>
      <w:pPr>
        <w:pStyle w:val="5"/>
        <w:spacing w:before="0" w:beforeAutospacing="0" w:after="0" w:afterAutospacing="0" w:line="375" w:lineRule="atLeas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前言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为深入贯彻习近平总书记关于培育“专精特新”中小企业的重要指示精神，全面落实党中央、国务院关于促进中小企业健康发展的决策部署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根据《嘉兴市先进制造业集群培育工程推进方案（2023—2027年）》、《嘉兴市打造全球性新材料产业集群实施方案》、《嘉兴市打造全球性智能光伏产业集群实施方案》、《嘉兴市打造全国性新能源汽车产业集群实施方案（2023—2025年）》、《嘉兴市专精特新中小企业培育三年行动计划（2023—2025年）》等方案，围绕新材料、新能源汽车、新一代网络通信、光伏新能源、高端装备、生物医药等优势产业和新兴产业，不断夯实核心基础零部件、关键基础材料、先进基础工艺、产业技术基础、工业基础软件等“五大基础”，加快形成与“135N”先进制造业集群相匹配的产业基础体系。引导全市中小企业走专业化、精细化、特色化、创新型发展之路，打造专精特新发展的企业生态群体、制造业产业集群，到2025年，累计培育专精特新“小巨人”企业200家，省级“专精特新”中小企业1500家、市级专精特新培育企业2000家。推动专精特新中小企业成为我市制造业的“金名片”，努力把我市建设成为中小企业转型发展、制造业高质量发展的新高地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为助力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嘉兴及长三角区域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“专精特新”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中小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高质量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快速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发展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落实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各级政府部门相关发展规划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目标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更好的对外展示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嘉兴及长三角区域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“专精特新”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中小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企业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成果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“202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4长三角（嘉兴）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专精特新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企业新技术新产品展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览会”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定于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12月11-13日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嘉兴国际会展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中心举办，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本届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展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旨在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引动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长三角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“专精特新”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知名品牌、发动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嘉兴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“专精特新”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特色企业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、汇聚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禾城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集中展示，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“专精特新”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中小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拓展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国内外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市场提供重要采购交流平台。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本届展会预计展出面积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万平米、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家展商、将吸引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国内外2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专业观众参观采购。</w:t>
      </w:r>
    </w:p>
    <w:p>
      <w:pPr>
        <w:pStyle w:val="2"/>
        <w:ind w:firstLine="640" w:firstLineChars="20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展会同期将举办多场技术交流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、会议论坛、供需对接、新品发布、现场促销、投资推荐等活动，</w:t>
      </w:r>
      <w:r>
        <w:rPr>
          <w:rFonts w:hint="eastAsia"/>
          <w:sz w:val="32"/>
          <w:szCs w:val="32"/>
          <w:highlight w:val="none"/>
          <w:lang w:val="en-US" w:eastAsia="zh-CN"/>
        </w:rPr>
        <w:t>届时，欢迎广大业内企业踊跃参展！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买家邀请</w:t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主办方将大部分的精力用在专业采购商组织工作上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通过自身庞大的采购商数据库及全国行业展会现场，将邮寄、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派发30多万份参观券，邀请专业人士前来参观、采购。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组委会成立市场部组织专业采购商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展会启动就设立了市场部，专门搜集行业信息和专业买家资料，通过多种渠道邀请专业人士前来采购、定货，努力提高展会质量。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3、展前邀约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将所有参展商的信息（名称、展品等）提前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印制参观指南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，在展前一个月开始大量邮寄给采购商、通过有关行业协会（商会）派发给会员单位、推广团队针对专业市场及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产业集群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面对面派发，确保采购商质量。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4、有针对性地邀请采购商前来采购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让所有参展企业报名参展时，详细填写征询函，参展企业需要哪类的采购商，我们工作人员即重点邀请这类采购商前来采购。 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5、重点邀请国外采购商</w:t>
      </w:r>
    </w:p>
    <w:p>
      <w:pPr>
        <w:ind w:firstLine="640" w:firstLineChars="200"/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通过各组织机构、进出口商会、驻华使馆、外事机构等重点邀请国外采购商到场洽谈采购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，保证外贸展商的参展效果。</w:t>
      </w:r>
    </w:p>
    <w:p>
      <w:pPr>
        <w:pStyle w:val="2"/>
        <w:numPr>
          <w:ilvl w:val="0"/>
          <w:numId w:val="2"/>
        </w:numPr>
        <w:ind w:firstLine="643" w:firstLineChars="200"/>
        <w:rPr>
          <w:rFonts w:hint="eastAsia" w:ascii="宋体" w:hAnsi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举办多场供需对接会</w:t>
      </w:r>
    </w:p>
    <w:p>
      <w:pPr>
        <w:ind w:firstLine="640" w:firstLineChars="200"/>
        <w:rPr>
          <w:rFonts w:hint="default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展会同期将针对重点展览领域、嘉兴特色版块举办专题产业链供需对接会，更好的促成现场采购交易。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采购商待遇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300公里以内组团（集团）参观大巴车免费接送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邀请同行3人以上组团参观补贴路费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海外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采购商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补贴差旅费。</w:t>
      </w:r>
    </w:p>
    <w:p>
      <w:pPr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宣传推广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通过抖音、微信朋友圈、快手等新媒体，针对全国范围业内客户投放广告。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通过本地及周边地区报纸、电视台等公众媒体推广。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门户网站、行业杂志、行业网站等媒体深度宣传推广。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建立庞大的采购商数据库。通过电话、电子邮件、短信群发、上门拜访等多种形式邀请专业观众参观，倾力让参展商获得满意的参展效果，让参展商在短时间里扩展更多业务。</w:t>
      </w:r>
    </w:p>
    <w:p>
      <w:pPr>
        <w:ind w:firstLine="643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重点针对嘉兴各县市区、周边地区等重点产业集群（工业园区）投放户外广告。</w:t>
      </w:r>
    </w:p>
    <w:p>
      <w:pPr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展览范围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各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eastAsia="zh-CN"/>
        </w:rPr>
        <w:t>专精特新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入选企业、培育企业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，专精特新“小巨人”企业、创新型企业、单项冠军企业、隐形冠军企业、雄鹰企业、首台(套)装备、首批次新材料、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金融保险、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投融资机构、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检测认证、外贸服务平台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、新能源及新材料展区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1、新材料展区：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先进半导体材料、新型显示材料、高性能树脂【工程材料】、新能源材料、高性能纤维及复合材料、高端磁性材料、高端合金材料、生物医用材料、纳米材料、柔性电子材料、前沿新材料、化工新材料、先进高分子材料、航空航天材料、高端膜材料、包装材料、生物降解材料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2、新能源技术装备：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光伏、太阳能、氢能、核能、储能等技术装备，新能源电力技术装备等。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3、新能源汽车产业链：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新能源汽车整车、动力驱动系统、动力电池、配套零部件、电子电控、热管理技术、测试测量、汽车设计、充（换）电装置及设施等。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（二）、人工智能及电子展区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1、人工智能：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工业互联网、人工智能基础硬件、大数据、云计算、智能芯片、智能传感器、激光雷达、通信设备、人工智能技术、智慧城市、智能教育、智能医疗、智能金融、智能制造、无人驾驶、智能安防、智慧零售、智能机器人、物联网、智能设备、智能穿戴、无人机、智能家电、智能娱乐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高端软件与网络安全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、人工智能创新成果等。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2、电子：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电子元器件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集成电路、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LED照明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半导体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电子电器、电子纸、电子设计、印刷板电路、电子装配、电线电缆、微电子、高精密器件制造、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新型显示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测试测量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、电子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材料及设备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，相关政府及产业园等。</w:t>
      </w:r>
    </w:p>
    <w:p>
      <w:pPr>
        <w:pStyle w:val="2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（三）、节能环保技术装备展区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1、泵阀管道：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泵、阀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、阀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门配件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管道、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管件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、管材、执行机构、泵管阀配套产品，电机、风机、真空设备、减速机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废水/污水处理设备、污泥处理技术与设备、膜技术与设备及相关配套产品、给排水技术及设备，智慧水务，节水、净水技术设备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等。</w:t>
      </w:r>
    </w:p>
    <w:p>
      <w:pPr>
        <w:spacing w:line="360" w:lineRule="auto"/>
        <w:ind w:firstLine="643" w:firstLineChars="200"/>
        <w:rPr>
          <w:rFonts w:hint="eastAsia" w:ascii="宋体" w:hAnsi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粉尘回收设备、清洁设备、废气回收与治理、空气净化技术设备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固废物处理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技术装备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、资源回收及综合利用、环卫技术设备、环境应急装备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环境监测、生态修复技术与设备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default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仪器仪表、节能技术与设备、变频器、空压机、噪声与振动控制技术设备、通风设备、清洁能源、科研机构等。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（四）、高端机械装备展区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高档数控机床、机器人、激光设备、工业自动化、高端智能装备、通用机械和专用设备等。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铸造锻压及热处理设备、各种五金加工机械、焊接与切割设备、涂装及表面处理设备、紧固件设备、塑料机械、其它机械装备。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航空航天、先进轨道交通、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船舶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装备及材料等。</w:t>
      </w:r>
    </w:p>
    <w:p>
      <w:pPr>
        <w:pStyle w:val="2"/>
        <w:ind w:firstLine="643" w:firstLineChars="200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32"/>
          <w:szCs w:val="32"/>
          <w:highlight w:val="none"/>
          <w:lang w:val="en-US" w:eastAsia="zh-CN"/>
        </w:rPr>
        <w:t>物流装备、仓储设备、印刷设备、包装设备及材料等。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（五）、新型工业零部件展区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1、工业零部件：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铸锻件，冲压件，紧固件、标准件、模具、金属成品件、固体成型，非切割技术零件，机切割金属零件，汽车配件，千斤顶，部件装配和金属结构，索具，五金件、塑料零件和橡胶加工件，其他机械零部件等。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2、轴承：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标准轴承、专用轴承、特殊轴承、汽车轴承、直线轴承，轴承零件，轴承设备、磨削及超精研机、检验、测量和试验设备、智能制造及柔性轴承生产线、其它辅助设备等。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3、工业材料：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钢材、稀有金属、橡胶、塑料、工业陶瓷、聚和材料，复合材料等各种不同的工业用材料及化合物等。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4、工艺：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铸造、锻造、钣金成型、机加工、紧固技术、表面处理(辅料工艺)、过程监理、工业设计、工业服务、系统及部件等。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（六</w:t>
      </w:r>
      <w:r>
        <w:rPr>
          <w:rFonts w:hint="default"/>
          <w:b/>
          <w:bCs/>
          <w:sz w:val="32"/>
          <w:szCs w:val="32"/>
          <w:highlight w:val="none"/>
          <w:lang w:val="en-US" w:eastAsia="zh-CN"/>
        </w:rPr>
        <w:t>）、生物健康医疗展区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  <w:t>医疗器械、智能健康设备、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辅助医疗仪器设备等。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  <w:t>生物医药、中医药及保健品、医药原料及中间体、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绿色</w:t>
      </w:r>
      <w:r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  <w:t>健康食品等。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日程安排</w:t>
      </w:r>
    </w:p>
    <w:p>
      <w:pPr>
        <w:ind w:firstLine="643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报到布展：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ind w:firstLine="643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展览时间：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ind w:firstLine="643" w:firstLineChars="200"/>
        <w:rPr>
          <w:rFonts w:hint="default" w:ascii="宋体" w:hAnsi="宋体" w:eastAsia="宋体" w:cs="宋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撤展时间：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14:00</w:t>
      </w:r>
    </w:p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展位费用</w:t>
      </w:r>
    </w:p>
    <w:tbl>
      <w:tblPr>
        <w:tblStyle w:val="11"/>
        <w:tblpPr w:leftFromText="180" w:rightFromText="180" w:vertAnchor="text" w:horzAnchor="page" w:tblpX="1850" w:tblpY="105"/>
        <w:tblOverlap w:val="never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1875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展位类型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展位配置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标准展位</w:t>
            </w:r>
          </w:p>
          <w:p>
            <w:pPr>
              <w:pStyle w:val="4"/>
              <w:spacing w:line="440" w:lineRule="exact"/>
              <w:ind w:left="0" w:leftChars="0" w:firstLine="32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3mx3mx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440" w:lineRule="exact"/>
              <w:ind w:left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00元/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,双开口9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00元/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三面围板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（双开口两面）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楣板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中英文）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、一桌两椅、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二支射灯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、220V电源插座一个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光地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起租）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0元/㎡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无任何配置、需自行设计搭建、相关特装管理费、电费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由参展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自行负责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广告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</w:p>
    <w:tbl>
      <w:tblPr>
        <w:tblStyle w:val="11"/>
        <w:tblpPr w:leftFromText="180" w:rightFromText="180" w:vertAnchor="text" w:horzAnchor="page" w:tblpX="1850" w:tblpY="105"/>
        <w:tblOverlap w:val="never"/>
        <w:tblW w:w="8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 w:firstLine="32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参观券广告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10000元/20000张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 w:firstLine="320" w:firstLineChars="100"/>
              <w:jc w:val="center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参观指南广告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元/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手提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10000元/1000个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矿泉水广告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牌楼广告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0000元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户外桁架广告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/块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户外道旗广告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8000元/10面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馆内吊旗广告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default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30000元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入口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门头广告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ind w:left="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30000元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新产品新技术推介会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推介会￥1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800元/45分钟（含场地、200-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00人座位布置、扩音设备、投影设备、茶水等服务）。   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请对自己产品/技术有信心的机构不要错过契机，积极报名参与，并在大会开展前30日将讲座主题、主讲人姓名/职务等通报组委会办公室。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赞助机会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为使企业参展效果最大化，赞助企业实现市场发展战略之目的，特拟定ABC三种不同标准赞助方案，凡参加本届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览会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参展商均有机会赞助大会，详细资料备索。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参展程序</w:t>
      </w:r>
    </w:p>
    <w:p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1、确认参展后，请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填写《参展申请表》，签字盖章后，发送至展会组委会。报名后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三个工作日内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将参展费用汇入组委会指定帐号，从而确定展位，否则所定展位不予保留。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2、组委会将在会期前一个月将有关展品托运、水电申请、特装安排、住宿等各项细则专函通知参展单位。</w:t>
      </w:r>
    </w:p>
    <w:p>
      <w:pP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组委会联系方式</w:t>
      </w:r>
    </w:p>
    <w:p>
      <w:pPr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地址：嘉兴市南湖区亚太路705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（清华长三角研究院D座）</w:t>
      </w:r>
    </w:p>
    <w:p>
      <w:pPr>
        <w:tabs>
          <w:tab w:val="left" w:pos="4776"/>
        </w:tabs>
        <w:spacing w:after="0" w:line="600" w:lineRule="exact"/>
        <w:rPr>
          <w:rFonts w:ascii="仿宋" w:hAnsi="仿宋" w:eastAsia="仿宋" w:cs="宋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电话：18905838111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18006618111  18006616111  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0573-82225822</w:t>
      </w:r>
    </w:p>
    <w:p>
      <w:pPr>
        <w:pStyle w:val="2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官网：https://www.srdi-jx.com/</w:t>
      </w:r>
    </w:p>
    <w:sectPr>
      <w:footerReference r:id="rId3" w:type="default"/>
      <w:pgSz w:w="11906" w:h="16838"/>
      <w:pgMar w:top="1247" w:right="1247" w:bottom="1247" w:left="1247" w:header="851" w:footer="992" w:gutter="0"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- 11 -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- 11 -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FCE00"/>
    <w:multiLevelType w:val="singleLevel"/>
    <w:tmpl w:val="A72FCE00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B89BB280"/>
    <w:multiLevelType w:val="singleLevel"/>
    <w:tmpl w:val="B89BB2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CE2E8F4"/>
    <w:multiLevelType w:val="singleLevel"/>
    <w:tmpl w:val="6CE2E8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TNjYTZhNmQ4ODc2N2ZjNzUwYmE1MzJhODc1ZjAifQ=="/>
  </w:docVars>
  <w:rsids>
    <w:rsidRoot w:val="3780513D"/>
    <w:rsid w:val="00005D6F"/>
    <w:rsid w:val="000123A0"/>
    <w:rsid w:val="00035D63"/>
    <w:rsid w:val="0007140D"/>
    <w:rsid w:val="00142710"/>
    <w:rsid w:val="001840ED"/>
    <w:rsid w:val="001F0B00"/>
    <w:rsid w:val="0021048C"/>
    <w:rsid w:val="00237561"/>
    <w:rsid w:val="00260F5E"/>
    <w:rsid w:val="002878DA"/>
    <w:rsid w:val="002A7585"/>
    <w:rsid w:val="002A7C68"/>
    <w:rsid w:val="00314C18"/>
    <w:rsid w:val="00340563"/>
    <w:rsid w:val="00370606"/>
    <w:rsid w:val="0037471B"/>
    <w:rsid w:val="003B17EC"/>
    <w:rsid w:val="00407496"/>
    <w:rsid w:val="004252C0"/>
    <w:rsid w:val="00433AB9"/>
    <w:rsid w:val="004406BA"/>
    <w:rsid w:val="00475EFC"/>
    <w:rsid w:val="004F357B"/>
    <w:rsid w:val="004F39C2"/>
    <w:rsid w:val="00535A0C"/>
    <w:rsid w:val="00557CCE"/>
    <w:rsid w:val="005733D2"/>
    <w:rsid w:val="005A3A18"/>
    <w:rsid w:val="005B41AA"/>
    <w:rsid w:val="00624B5F"/>
    <w:rsid w:val="00632BA0"/>
    <w:rsid w:val="00742ECA"/>
    <w:rsid w:val="007C52EF"/>
    <w:rsid w:val="0086140B"/>
    <w:rsid w:val="008D10C8"/>
    <w:rsid w:val="008E100A"/>
    <w:rsid w:val="00906091"/>
    <w:rsid w:val="009144F7"/>
    <w:rsid w:val="00996127"/>
    <w:rsid w:val="009A318A"/>
    <w:rsid w:val="00A95929"/>
    <w:rsid w:val="00B06E41"/>
    <w:rsid w:val="00B502FB"/>
    <w:rsid w:val="00B815AD"/>
    <w:rsid w:val="00B83C47"/>
    <w:rsid w:val="00BB16BC"/>
    <w:rsid w:val="00C11A98"/>
    <w:rsid w:val="00C367EC"/>
    <w:rsid w:val="00C57AF1"/>
    <w:rsid w:val="00CF3752"/>
    <w:rsid w:val="00D07A9C"/>
    <w:rsid w:val="00D23F53"/>
    <w:rsid w:val="00D32C25"/>
    <w:rsid w:val="00DD6212"/>
    <w:rsid w:val="00DF2CB0"/>
    <w:rsid w:val="00EA20BE"/>
    <w:rsid w:val="00EC28A0"/>
    <w:rsid w:val="00F11942"/>
    <w:rsid w:val="00F31201"/>
    <w:rsid w:val="00F46671"/>
    <w:rsid w:val="00FA3896"/>
    <w:rsid w:val="00FA75F2"/>
    <w:rsid w:val="01EC74EE"/>
    <w:rsid w:val="021C7FE0"/>
    <w:rsid w:val="02897766"/>
    <w:rsid w:val="02DF6B2A"/>
    <w:rsid w:val="02FB32F1"/>
    <w:rsid w:val="0371423F"/>
    <w:rsid w:val="0492645B"/>
    <w:rsid w:val="04E06938"/>
    <w:rsid w:val="05596825"/>
    <w:rsid w:val="056C3EBA"/>
    <w:rsid w:val="06BF7096"/>
    <w:rsid w:val="06D86FC2"/>
    <w:rsid w:val="07D81C11"/>
    <w:rsid w:val="089E0931"/>
    <w:rsid w:val="08E079FE"/>
    <w:rsid w:val="08E1462E"/>
    <w:rsid w:val="08EC29C7"/>
    <w:rsid w:val="090D262E"/>
    <w:rsid w:val="095E3ED9"/>
    <w:rsid w:val="0979630B"/>
    <w:rsid w:val="098A1086"/>
    <w:rsid w:val="09B259BF"/>
    <w:rsid w:val="09C75459"/>
    <w:rsid w:val="0A614C76"/>
    <w:rsid w:val="0B105343"/>
    <w:rsid w:val="0B3518F0"/>
    <w:rsid w:val="0B3B6A0E"/>
    <w:rsid w:val="0BD83E5E"/>
    <w:rsid w:val="0BED3152"/>
    <w:rsid w:val="0BEF07DF"/>
    <w:rsid w:val="0C786CE5"/>
    <w:rsid w:val="0C8A3D7F"/>
    <w:rsid w:val="0D2A3D65"/>
    <w:rsid w:val="0D41673D"/>
    <w:rsid w:val="0D8751DF"/>
    <w:rsid w:val="0DD80C36"/>
    <w:rsid w:val="0E26486C"/>
    <w:rsid w:val="0E4D183D"/>
    <w:rsid w:val="0E7E7A71"/>
    <w:rsid w:val="0E89497C"/>
    <w:rsid w:val="0EF02B48"/>
    <w:rsid w:val="107B20AB"/>
    <w:rsid w:val="110A688A"/>
    <w:rsid w:val="110C3B1D"/>
    <w:rsid w:val="11D37251"/>
    <w:rsid w:val="12017FA0"/>
    <w:rsid w:val="132D1909"/>
    <w:rsid w:val="133927D8"/>
    <w:rsid w:val="134E3F02"/>
    <w:rsid w:val="14367D56"/>
    <w:rsid w:val="158B425E"/>
    <w:rsid w:val="15A93CB4"/>
    <w:rsid w:val="15B171F5"/>
    <w:rsid w:val="16195FDE"/>
    <w:rsid w:val="16241A32"/>
    <w:rsid w:val="165C118C"/>
    <w:rsid w:val="16723661"/>
    <w:rsid w:val="168D356F"/>
    <w:rsid w:val="16F345B5"/>
    <w:rsid w:val="17C45606"/>
    <w:rsid w:val="17DF2075"/>
    <w:rsid w:val="18307318"/>
    <w:rsid w:val="18B3705E"/>
    <w:rsid w:val="18F970E2"/>
    <w:rsid w:val="195107FE"/>
    <w:rsid w:val="195817E9"/>
    <w:rsid w:val="19A619B6"/>
    <w:rsid w:val="1A55661F"/>
    <w:rsid w:val="1A5D33EB"/>
    <w:rsid w:val="1A9B5FFB"/>
    <w:rsid w:val="1AB7629C"/>
    <w:rsid w:val="1B117C78"/>
    <w:rsid w:val="1B12436D"/>
    <w:rsid w:val="1B4A2AA8"/>
    <w:rsid w:val="1B52075F"/>
    <w:rsid w:val="1B9741B9"/>
    <w:rsid w:val="1C152D01"/>
    <w:rsid w:val="1DC47395"/>
    <w:rsid w:val="1DD4768B"/>
    <w:rsid w:val="1E056C33"/>
    <w:rsid w:val="1E306593"/>
    <w:rsid w:val="1E5D225A"/>
    <w:rsid w:val="1ECA727C"/>
    <w:rsid w:val="1F5C677F"/>
    <w:rsid w:val="1F831BEA"/>
    <w:rsid w:val="1F917B53"/>
    <w:rsid w:val="1FC7397E"/>
    <w:rsid w:val="1FD9745C"/>
    <w:rsid w:val="201C203C"/>
    <w:rsid w:val="207A5A31"/>
    <w:rsid w:val="2087658A"/>
    <w:rsid w:val="20C13774"/>
    <w:rsid w:val="21987F7C"/>
    <w:rsid w:val="22A57468"/>
    <w:rsid w:val="22D74F0E"/>
    <w:rsid w:val="235325D1"/>
    <w:rsid w:val="241F5034"/>
    <w:rsid w:val="248C5CC0"/>
    <w:rsid w:val="24B759C6"/>
    <w:rsid w:val="250A7D89"/>
    <w:rsid w:val="25AB594C"/>
    <w:rsid w:val="25E01A3B"/>
    <w:rsid w:val="264B29B3"/>
    <w:rsid w:val="26AB5DAA"/>
    <w:rsid w:val="274F5477"/>
    <w:rsid w:val="278E3170"/>
    <w:rsid w:val="27A31E93"/>
    <w:rsid w:val="28851C9E"/>
    <w:rsid w:val="289B3D96"/>
    <w:rsid w:val="28B935C8"/>
    <w:rsid w:val="28FF7F76"/>
    <w:rsid w:val="295352F9"/>
    <w:rsid w:val="29803F2F"/>
    <w:rsid w:val="298451D5"/>
    <w:rsid w:val="299313D8"/>
    <w:rsid w:val="29EF24F1"/>
    <w:rsid w:val="2A07620C"/>
    <w:rsid w:val="2A5D1DC3"/>
    <w:rsid w:val="2A8E4A89"/>
    <w:rsid w:val="2A9608DB"/>
    <w:rsid w:val="2B4046AB"/>
    <w:rsid w:val="2B5D63C2"/>
    <w:rsid w:val="2C2E498E"/>
    <w:rsid w:val="2C551C1C"/>
    <w:rsid w:val="2CE51843"/>
    <w:rsid w:val="2D053ED4"/>
    <w:rsid w:val="2D8C1CDD"/>
    <w:rsid w:val="2D9779B4"/>
    <w:rsid w:val="2DD9289D"/>
    <w:rsid w:val="2EE25EAB"/>
    <w:rsid w:val="2F144FEC"/>
    <w:rsid w:val="2F1A5C85"/>
    <w:rsid w:val="2F496235"/>
    <w:rsid w:val="2F9EF612"/>
    <w:rsid w:val="2FBA753A"/>
    <w:rsid w:val="2FCC789E"/>
    <w:rsid w:val="2FF76313"/>
    <w:rsid w:val="30382423"/>
    <w:rsid w:val="30893ABF"/>
    <w:rsid w:val="30D2349D"/>
    <w:rsid w:val="32754A30"/>
    <w:rsid w:val="32B040E2"/>
    <w:rsid w:val="32C73DFE"/>
    <w:rsid w:val="33472BDC"/>
    <w:rsid w:val="33A14CE2"/>
    <w:rsid w:val="33E505BB"/>
    <w:rsid w:val="351153E0"/>
    <w:rsid w:val="35227CAB"/>
    <w:rsid w:val="35FD4944"/>
    <w:rsid w:val="3629499A"/>
    <w:rsid w:val="36D43C35"/>
    <w:rsid w:val="37183EFA"/>
    <w:rsid w:val="3780513D"/>
    <w:rsid w:val="37EF4046"/>
    <w:rsid w:val="38223492"/>
    <w:rsid w:val="38334162"/>
    <w:rsid w:val="383F5490"/>
    <w:rsid w:val="38C304F7"/>
    <w:rsid w:val="393C2B2F"/>
    <w:rsid w:val="39723023"/>
    <w:rsid w:val="39C126D1"/>
    <w:rsid w:val="3A4B106E"/>
    <w:rsid w:val="3AA46A72"/>
    <w:rsid w:val="3AA719E7"/>
    <w:rsid w:val="3AF25E72"/>
    <w:rsid w:val="3B3C75DE"/>
    <w:rsid w:val="3B5D0CF7"/>
    <w:rsid w:val="3B9846F2"/>
    <w:rsid w:val="3BA27029"/>
    <w:rsid w:val="3C0529D7"/>
    <w:rsid w:val="3C1505FE"/>
    <w:rsid w:val="3C260DCB"/>
    <w:rsid w:val="3C2B0F28"/>
    <w:rsid w:val="3C383327"/>
    <w:rsid w:val="3CB37BF1"/>
    <w:rsid w:val="3CCF218F"/>
    <w:rsid w:val="3CEF5180"/>
    <w:rsid w:val="3D20433C"/>
    <w:rsid w:val="3D474F48"/>
    <w:rsid w:val="3D9F1E03"/>
    <w:rsid w:val="3DA73A48"/>
    <w:rsid w:val="3DF22C0C"/>
    <w:rsid w:val="3E584049"/>
    <w:rsid w:val="3E7D7513"/>
    <w:rsid w:val="3E913F31"/>
    <w:rsid w:val="3F135022"/>
    <w:rsid w:val="3FC4201A"/>
    <w:rsid w:val="403F275E"/>
    <w:rsid w:val="405064C6"/>
    <w:rsid w:val="40F21CF4"/>
    <w:rsid w:val="41B65B5F"/>
    <w:rsid w:val="42713155"/>
    <w:rsid w:val="42B46905"/>
    <w:rsid w:val="42DD522F"/>
    <w:rsid w:val="42E96F41"/>
    <w:rsid w:val="42FB5A6A"/>
    <w:rsid w:val="439F1A53"/>
    <w:rsid w:val="43FC47B0"/>
    <w:rsid w:val="44050182"/>
    <w:rsid w:val="441B20B5"/>
    <w:rsid w:val="442413AE"/>
    <w:rsid w:val="44983C5E"/>
    <w:rsid w:val="44C252E8"/>
    <w:rsid w:val="44C50750"/>
    <w:rsid w:val="450C24A5"/>
    <w:rsid w:val="45316E74"/>
    <w:rsid w:val="45433FC9"/>
    <w:rsid w:val="465F5E86"/>
    <w:rsid w:val="46A9481F"/>
    <w:rsid w:val="46B263A1"/>
    <w:rsid w:val="479E641C"/>
    <w:rsid w:val="48743864"/>
    <w:rsid w:val="487F5286"/>
    <w:rsid w:val="48D54FA9"/>
    <w:rsid w:val="49117991"/>
    <w:rsid w:val="498E6B93"/>
    <w:rsid w:val="49E80945"/>
    <w:rsid w:val="4AA03706"/>
    <w:rsid w:val="4AE94483"/>
    <w:rsid w:val="4B083C16"/>
    <w:rsid w:val="4B5F0D7B"/>
    <w:rsid w:val="4B621ADD"/>
    <w:rsid w:val="4B873EB8"/>
    <w:rsid w:val="4B9D5F01"/>
    <w:rsid w:val="4C1557E5"/>
    <w:rsid w:val="4C253931"/>
    <w:rsid w:val="4C3D0CCB"/>
    <w:rsid w:val="4C4C0643"/>
    <w:rsid w:val="4C6B5622"/>
    <w:rsid w:val="4D5B5BA4"/>
    <w:rsid w:val="4D5E628F"/>
    <w:rsid w:val="4E272E54"/>
    <w:rsid w:val="4E73195F"/>
    <w:rsid w:val="4E7C0930"/>
    <w:rsid w:val="4E7C6663"/>
    <w:rsid w:val="4F0F6381"/>
    <w:rsid w:val="4F3272A1"/>
    <w:rsid w:val="4FBF2F69"/>
    <w:rsid w:val="50E01215"/>
    <w:rsid w:val="52B75DE8"/>
    <w:rsid w:val="52EF40FC"/>
    <w:rsid w:val="53155374"/>
    <w:rsid w:val="538344F3"/>
    <w:rsid w:val="53B426E2"/>
    <w:rsid w:val="54233FF9"/>
    <w:rsid w:val="543531E5"/>
    <w:rsid w:val="5478032A"/>
    <w:rsid w:val="554559CF"/>
    <w:rsid w:val="5576446A"/>
    <w:rsid w:val="558D4F5F"/>
    <w:rsid w:val="55E12590"/>
    <w:rsid w:val="55E60F3A"/>
    <w:rsid w:val="56026815"/>
    <w:rsid w:val="563C2032"/>
    <w:rsid w:val="56CC6260"/>
    <w:rsid w:val="576C59C5"/>
    <w:rsid w:val="57851C00"/>
    <w:rsid w:val="58187794"/>
    <w:rsid w:val="586910EE"/>
    <w:rsid w:val="58A8201A"/>
    <w:rsid w:val="58CB74D0"/>
    <w:rsid w:val="58D81A4B"/>
    <w:rsid w:val="59733CBE"/>
    <w:rsid w:val="5A44120B"/>
    <w:rsid w:val="5A6B64ED"/>
    <w:rsid w:val="5ADE2BB4"/>
    <w:rsid w:val="5AF328A2"/>
    <w:rsid w:val="5AF75103"/>
    <w:rsid w:val="5B2C593F"/>
    <w:rsid w:val="5B793E6A"/>
    <w:rsid w:val="5C167C42"/>
    <w:rsid w:val="5CFA45B5"/>
    <w:rsid w:val="5D427466"/>
    <w:rsid w:val="5D8A70E7"/>
    <w:rsid w:val="5E1F1DFA"/>
    <w:rsid w:val="5E911960"/>
    <w:rsid w:val="5F1A4E11"/>
    <w:rsid w:val="5F254C0C"/>
    <w:rsid w:val="60555C2C"/>
    <w:rsid w:val="606C2C52"/>
    <w:rsid w:val="60C9182C"/>
    <w:rsid w:val="61071D6E"/>
    <w:rsid w:val="6178338F"/>
    <w:rsid w:val="619A3FD1"/>
    <w:rsid w:val="63052B32"/>
    <w:rsid w:val="638218E6"/>
    <w:rsid w:val="63BD5F69"/>
    <w:rsid w:val="63D644F9"/>
    <w:rsid w:val="63F04A3B"/>
    <w:rsid w:val="645D3FBD"/>
    <w:rsid w:val="64E44180"/>
    <w:rsid w:val="656905E1"/>
    <w:rsid w:val="65855539"/>
    <w:rsid w:val="66093922"/>
    <w:rsid w:val="663B20F9"/>
    <w:rsid w:val="6680350F"/>
    <w:rsid w:val="67337575"/>
    <w:rsid w:val="67573E7B"/>
    <w:rsid w:val="67902011"/>
    <w:rsid w:val="679C4D41"/>
    <w:rsid w:val="67BE740A"/>
    <w:rsid w:val="67BF408B"/>
    <w:rsid w:val="67FD3943"/>
    <w:rsid w:val="68951DF8"/>
    <w:rsid w:val="68E50859"/>
    <w:rsid w:val="691C10F1"/>
    <w:rsid w:val="69A5181E"/>
    <w:rsid w:val="69DF4845"/>
    <w:rsid w:val="69E6270A"/>
    <w:rsid w:val="69EF5020"/>
    <w:rsid w:val="6A270C06"/>
    <w:rsid w:val="6A4F2B07"/>
    <w:rsid w:val="6A9832B1"/>
    <w:rsid w:val="6AB1361E"/>
    <w:rsid w:val="6AF10225"/>
    <w:rsid w:val="6AFF004B"/>
    <w:rsid w:val="6B373EE6"/>
    <w:rsid w:val="6C7321FB"/>
    <w:rsid w:val="6CD357B5"/>
    <w:rsid w:val="6CF07B6A"/>
    <w:rsid w:val="6D040190"/>
    <w:rsid w:val="6D505F46"/>
    <w:rsid w:val="6D5E7F8D"/>
    <w:rsid w:val="6D9A6A85"/>
    <w:rsid w:val="6DAF5358"/>
    <w:rsid w:val="6E076BCB"/>
    <w:rsid w:val="6E602494"/>
    <w:rsid w:val="6FE238CE"/>
    <w:rsid w:val="6FFE1674"/>
    <w:rsid w:val="70297555"/>
    <w:rsid w:val="70C15999"/>
    <w:rsid w:val="710F503A"/>
    <w:rsid w:val="718074E9"/>
    <w:rsid w:val="7209773F"/>
    <w:rsid w:val="7247769A"/>
    <w:rsid w:val="729A3ACF"/>
    <w:rsid w:val="72A164FE"/>
    <w:rsid w:val="734766D0"/>
    <w:rsid w:val="73F65473"/>
    <w:rsid w:val="745E5822"/>
    <w:rsid w:val="7527323C"/>
    <w:rsid w:val="75753202"/>
    <w:rsid w:val="75EC7B8F"/>
    <w:rsid w:val="765823F3"/>
    <w:rsid w:val="769D0325"/>
    <w:rsid w:val="76D8791F"/>
    <w:rsid w:val="76DA32A9"/>
    <w:rsid w:val="77C44C4E"/>
    <w:rsid w:val="78125F0A"/>
    <w:rsid w:val="786C5BEB"/>
    <w:rsid w:val="791C4186"/>
    <w:rsid w:val="796557CA"/>
    <w:rsid w:val="79EF05BA"/>
    <w:rsid w:val="7AA7568D"/>
    <w:rsid w:val="7AFB7A16"/>
    <w:rsid w:val="7BB071D1"/>
    <w:rsid w:val="7C6333F8"/>
    <w:rsid w:val="7C69720C"/>
    <w:rsid w:val="7C7D5C19"/>
    <w:rsid w:val="7D0B29C3"/>
    <w:rsid w:val="7D355189"/>
    <w:rsid w:val="7D7A338B"/>
    <w:rsid w:val="7D827378"/>
    <w:rsid w:val="7DC720AD"/>
    <w:rsid w:val="7DEFF94E"/>
    <w:rsid w:val="7DF8010A"/>
    <w:rsid w:val="7E143232"/>
    <w:rsid w:val="7F124A01"/>
    <w:rsid w:val="7F2B678B"/>
    <w:rsid w:val="7F2F0F0D"/>
    <w:rsid w:val="7F4A658E"/>
    <w:rsid w:val="7F6F63EA"/>
    <w:rsid w:val="7F78540D"/>
    <w:rsid w:val="7FFF637F"/>
    <w:rsid w:val="9BBF66BF"/>
    <w:rsid w:val="D7F36D7E"/>
    <w:rsid w:val="FC5E4B1D"/>
    <w:rsid w:val="FDBB2D29"/>
    <w:rsid w:val="FDCF6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index 5"/>
    <w:next w:val="1"/>
    <w:qFormat/>
    <w:uiPriority w:val="0"/>
    <w:pPr>
      <w:ind w:left="1680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Calibri" w:eastAsia="Calibri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纯文本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3782</Words>
  <Characters>4025</Characters>
  <Lines>35</Lines>
  <Paragraphs>10</Paragraphs>
  <TotalTime>0</TotalTime>
  <ScaleCrop>false</ScaleCrop>
  <LinksUpToDate>false</LinksUpToDate>
  <CharactersWithSpaces>4080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2023-02-19T17:31:00Z</dcterms:created>
  <dc:creator>冷津无渡</dc:creator>
  <cp:lastModifiedBy>张裕杰</cp:lastModifiedBy>
  <cp:lastPrinted>2023-03-13T01:42:00Z</cp:lastPrinted>
  <dcterms:modified xsi:type="dcterms:W3CDTF">2024-06-19T07:57:40Z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1B54C70CF0F9456B8CE6D448BD92EE86_13</vt:lpwstr>
  </property>
</Properties>
</file>