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2024第二届</w:t>
      </w:r>
      <w:r>
        <w:rPr>
          <w:rFonts w:hint="eastAsia" w:ascii="宋体" w:hAnsi="宋体" w:eastAsia="宋体"/>
          <w:b/>
          <w:bCs/>
          <w:sz w:val="52"/>
          <w:szCs w:val="52"/>
        </w:rPr>
        <w:t>喀什</w:t>
      </w: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农业</w:t>
      </w:r>
      <w:r>
        <w:rPr>
          <w:rFonts w:hint="eastAsia" w:ascii="宋体" w:hAnsi="宋体" w:eastAsia="宋体"/>
          <w:b/>
          <w:bCs/>
          <w:sz w:val="52"/>
          <w:szCs w:val="52"/>
        </w:rPr>
        <w:t>博览会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农资、节水灌溉、智慧农业、园林温室展览会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邀 请 函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时间：2</w:t>
      </w:r>
      <w:r>
        <w:rPr>
          <w:rFonts w:ascii="宋体" w:hAnsi="宋体" w:eastAsia="宋体"/>
          <w:sz w:val="30"/>
          <w:szCs w:val="30"/>
        </w:rPr>
        <w:t>024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ascii="宋体" w:hAnsi="宋体" w:eastAsia="宋体"/>
          <w:sz w:val="30"/>
          <w:szCs w:val="30"/>
        </w:rPr>
        <w:t>-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sz w:val="30"/>
          <w:szCs w:val="30"/>
        </w:rPr>
        <w:t>日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>地点：喀什国际会展中心</w:t>
      </w:r>
    </w:p>
    <w:p>
      <w:pPr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支持单位：喀什地区农业农村局、喀什地区林业和草原局</w:t>
      </w:r>
    </w:p>
    <w:p>
      <w:pPr>
        <w:ind w:firstLine="1500" w:firstLineChars="500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喀什地区水利局、克州地区农业农村局、喀什市商贸协会、</w:t>
      </w:r>
    </w:p>
    <w:p>
      <w:pPr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支持媒体：《弘西农业》、火爆农资招商网、火爆农化招商网、农资搜索、</w:t>
      </w:r>
    </w:p>
    <w:p>
      <w:pPr>
        <w:ind w:left="1491" w:leftChars="710" w:firstLine="300" w:firstLineChars="100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必全在线·中国时创、</w:t>
      </w:r>
      <w:r>
        <w:rPr>
          <w:rFonts w:hint="eastAsia" w:ascii="宋体" w:hAnsi="宋体" w:eastAsia="宋体"/>
          <w:sz w:val="30"/>
          <w:szCs w:val="30"/>
        </w:rPr>
        <w:t>北方农资网、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五展六会网、</w:t>
      </w:r>
    </w:p>
    <w:p>
      <w:pPr>
        <w:ind w:left="1491" w:leftChars="710" w:firstLine="300" w:firstLineChars="10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lang w:val="en-US" w:eastAsia="zh-CN"/>
        </w:rPr>
        <w:t>蓝孩子农资网、中国会展网、聚农网等</w:t>
      </w:r>
    </w:p>
    <w:p>
      <w:pPr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承办单位：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新疆弘西展览服务有限公司  </w:t>
      </w:r>
    </w:p>
    <w:p>
      <w:pPr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协办单位：山东麦普诺农业科技有限公司</w:t>
      </w:r>
    </w:p>
    <w:p>
      <w:pPr>
        <w:ind w:firstLine="602" w:firstLineChars="200"/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本次展会组委会和参展企业邀约的农资经销商、种植养殖大户、农业公司等专业客户，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经过组委会落实集中统一的，我们可用大巴车免费接送。距离近的可自行开车来展会现场。辐射范围包括：阿克苏地区、和田地区、农三师、克州地区、喀什地区。如果您公司有足够的邀请客户，可以和组委会申请40-50人的大巴车辆。如果人数不足一辆车的，则由组委会统筹协调同地区的人员乘车。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  <w:lang w:val="en-US" w:eastAsia="zh-CN"/>
        </w:rPr>
        <w:t>费用由组委会支付。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7030A0"/>
          <w:kern w:val="0"/>
          <w:sz w:val="30"/>
          <w:szCs w:val="30"/>
          <w:lang w:val="en-US" w:eastAsia="zh-CN"/>
        </w:rPr>
        <w:t>标准</w:t>
      </w:r>
      <w:r>
        <w:rPr>
          <w:rFonts w:hint="eastAsia" w:ascii="宋体" w:hAnsi="宋体" w:eastAsia="宋体" w:cs="宋体"/>
          <w:color w:val="7030A0"/>
          <w:kern w:val="0"/>
          <w:sz w:val="30"/>
          <w:szCs w:val="30"/>
        </w:rPr>
        <w:t>展位</w:t>
      </w:r>
      <w:r>
        <w:rPr>
          <w:rFonts w:hint="eastAsia" w:ascii="宋体" w:hAnsi="宋体" w:eastAsia="宋体" w:cs="宋体"/>
          <w:color w:val="7030A0"/>
          <w:kern w:val="0"/>
          <w:sz w:val="30"/>
          <w:szCs w:val="30"/>
          <w:lang w:val="en-US" w:eastAsia="zh-CN"/>
        </w:rPr>
        <w:t>费</w:t>
      </w:r>
      <w:r>
        <w:rPr>
          <w:rFonts w:hint="eastAsia" w:ascii="宋体" w:hAnsi="宋体" w:eastAsia="宋体" w:cs="宋体"/>
          <w:color w:val="7030A0"/>
          <w:kern w:val="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48</w:t>
      </w:r>
      <w:r>
        <w:rPr>
          <w:rFonts w:ascii="宋体" w:hAnsi="宋体" w:eastAsia="宋体" w:cs="宋体"/>
          <w:color w:val="222222"/>
          <w:kern w:val="0"/>
          <w:sz w:val="30"/>
          <w:szCs w:val="30"/>
        </w:rPr>
        <w:t>00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</w:rPr>
        <w:t>元/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9平方米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</w:rPr>
        <w:t>（一桌两椅、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搭建完成的展位、220V电源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</w:rPr>
        <w:t>）</w:t>
      </w:r>
      <w:r>
        <w:rPr>
          <w:rFonts w:ascii="宋体" w:hAnsi="宋体" w:eastAsia="宋体" w:cs="宋体"/>
          <w:color w:val="222222"/>
          <w:kern w:val="0"/>
          <w:sz w:val="30"/>
          <w:szCs w:val="30"/>
        </w:rPr>
        <w:t xml:space="preserve">  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  <w:lang w:val="en-US" w:eastAsia="zh-CN"/>
        </w:rPr>
        <w:t>豪华展位</w:t>
      </w: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18平方米：  13000元/ 展期       一套洽谈圆桌</w:t>
      </w:r>
    </w:p>
    <w:p>
      <w:pPr>
        <w:widowControl/>
        <w:spacing w:line="522" w:lineRule="atLeast"/>
        <w:ind w:firstLine="1200" w:firstLineChars="400"/>
        <w:jc w:val="left"/>
        <w:rPr>
          <w:rFonts w:hint="default" w:ascii="宋体" w:hAnsi="宋体" w:eastAsia="宋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36平方米：  25000元/展期        两套洽谈圆桌</w:t>
      </w:r>
    </w:p>
    <w:p>
      <w:pPr>
        <w:widowControl/>
        <w:spacing w:line="522" w:lineRule="atLeast"/>
        <w:ind w:firstLine="1200" w:firstLineChars="400"/>
        <w:jc w:val="left"/>
        <w:rPr>
          <w:rFonts w:hint="default" w:ascii="宋体" w:hAnsi="宋体" w:eastAsia="宋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>54平方米：  36000元/展期        两套洽谈圆桌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方铝展位设计及搭建、接待台、广告制作、电源接驳费用、特装管理费。</w:t>
      </w:r>
    </w:p>
    <w:p>
      <w:pPr>
        <w:widowControl/>
        <w:spacing w:line="522" w:lineRule="atLeast"/>
        <w:jc w:val="left"/>
        <w:rPr>
          <w:rFonts w:hint="default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电视600元展期租金。安装后交付企业。电视押金2000元。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</w:pP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室内600平方米大屏幕轮播广告：展期10000元  ，每天6000元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户外广告牌   3.4米高5.4米长  3000元/展期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方柱广告：   1米宽*2.5米高  四面广告600元一面。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 xml:space="preserve">宣传彩页：   3000元版   </w:t>
      </w:r>
    </w:p>
    <w:p>
      <w:pPr>
        <w:widowControl/>
        <w:spacing w:line="522" w:lineRule="atLeast"/>
        <w:jc w:val="left"/>
        <w:rPr>
          <w:rFonts w:ascii="宋体" w:hAnsi="宋体" w:eastAsia="宋体"/>
          <w:b/>
          <w:bCs/>
          <w:color w:val="4472C4" w:themeColor="accent1"/>
          <w:sz w:val="30"/>
          <w:szCs w:val="30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b/>
          <w:bCs/>
          <w:color w:val="4472C4" w:themeColor="accent1"/>
          <w:sz w:val="30"/>
          <w:szCs w:val="30"/>
          <w14:textFill>
            <w14:solidFill>
              <w14:schemeClr w14:val="accent1"/>
            </w14:solidFill>
          </w14:textFill>
        </w:rPr>
        <w:t>农资展品范围：</w:t>
      </w:r>
    </w:p>
    <w:p>
      <w:pPr>
        <w:widowControl/>
        <w:spacing w:line="522" w:lineRule="atLeast"/>
        <w:jc w:val="left"/>
        <w:rPr>
          <w:rFonts w:ascii="宋体" w:hAnsi="宋体" w:eastAsia="宋体" w:cs="宋体"/>
          <w:color w:val="7F7F7F" w:themeColor="background1" w:themeShade="8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1、肥料、肥料原料、生物制品、农药、农药原料、植物生长调节剂、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植保器械、种子、种苗、农药及肥料生产包装设备等相关产品。</w:t>
      </w:r>
      <w:r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植保无人机、农用航空施药技术与喷施装备</w:t>
      </w:r>
    </w:p>
    <w:p>
      <w:pPr>
        <w:widowControl/>
        <w:spacing w:line="522" w:lineRule="atLeast"/>
        <w:jc w:val="left"/>
        <w:rPr>
          <w:rFonts w:hint="default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智慧农业、</w:t>
      </w:r>
      <w:r>
        <w:rPr>
          <w:rFonts w:hint="default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节水灌溉、温室设施展区：</w:t>
      </w:r>
    </w:p>
    <w:p>
      <w:pPr>
        <w:widowControl/>
        <w:spacing w:line="522" w:lineRule="atLeast"/>
        <w:jc w:val="left"/>
        <w:rPr>
          <w:rFonts w:hint="default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智慧农业系统、</w:t>
      </w:r>
      <w:r>
        <w:rPr>
          <w:rFonts w:hint="default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农业灌溉设备、园艺灌溉设备、工业排灌设备、精准灌溉、喷灌机械、微灌系统、自动控制系统、过滤器、水泵机组、阀门、喷头、水肥一体化设施，各种温室材料、育苗成套设备，自动化监控系统，保鲜技术，通风、保温设备等；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农业保险和农业金融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助农贷款金融公司及农业保险公司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农业机械及配件、园林苗木及技术。</w:t>
      </w:r>
    </w:p>
    <w:p>
      <w:pPr>
        <w:widowControl/>
        <w:spacing w:line="522" w:lineRule="atLeas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拖拉机、收获机械、机械配件、园林工具、苗木、绿化产品及技术等。</w:t>
      </w:r>
    </w:p>
    <w:p>
      <w:pPr>
        <w:rPr>
          <w:rFonts w:hint="default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4472C4" w:themeColor="accent1"/>
          <w:kern w:val="0"/>
          <w:sz w:val="30"/>
          <w:szCs w:val="30"/>
          <w:lang w:val="en-US" w:eastAsia="zh-CN"/>
          <w14:textFill>
            <w14:solidFill>
              <w14:schemeClr w14:val="accent1"/>
            </w14:solidFill>
          </w14:textFill>
        </w:rPr>
        <w:t>定展热线：</w:t>
      </w:r>
    </w:p>
    <w:p>
      <w:pP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30"/>
          <w:szCs w:val="30"/>
          <w:lang w:val="en-US" w:eastAsia="zh-CN"/>
        </w:rPr>
        <w:t xml:space="preserve">新疆弘西展览服务有限公司      </w:t>
      </w:r>
    </w:p>
    <w:p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联系电话：1</w:t>
      </w:r>
      <w:r>
        <w:rPr>
          <w:rFonts w:ascii="宋体" w:hAnsi="宋体" w:eastAsia="宋体"/>
          <w:sz w:val="30"/>
          <w:szCs w:val="30"/>
        </w:rPr>
        <w:t>5739149987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13779489216    </w:t>
      </w:r>
    </w:p>
    <w:p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 xml:space="preserve">联 系 人：张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永</w:t>
      </w:r>
    </w:p>
    <w:sectPr>
      <w:pgSz w:w="11906" w:h="16838"/>
      <w:pgMar w:top="850" w:right="1020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2"/>
    <w:rsid w:val="0060642F"/>
    <w:rsid w:val="00617666"/>
    <w:rsid w:val="008710AA"/>
    <w:rsid w:val="00FC668D"/>
    <w:rsid w:val="00FD29D2"/>
    <w:rsid w:val="00FE4174"/>
    <w:rsid w:val="01972E0F"/>
    <w:rsid w:val="07064DB2"/>
    <w:rsid w:val="08F85719"/>
    <w:rsid w:val="105D1615"/>
    <w:rsid w:val="13277B2D"/>
    <w:rsid w:val="13E75846"/>
    <w:rsid w:val="1844627D"/>
    <w:rsid w:val="1B304D8C"/>
    <w:rsid w:val="1DC5560A"/>
    <w:rsid w:val="22FE3CB7"/>
    <w:rsid w:val="294329A1"/>
    <w:rsid w:val="299C7AB8"/>
    <w:rsid w:val="2C6C21FB"/>
    <w:rsid w:val="2F095A57"/>
    <w:rsid w:val="30F657DD"/>
    <w:rsid w:val="33426459"/>
    <w:rsid w:val="428765BC"/>
    <w:rsid w:val="4BB5116B"/>
    <w:rsid w:val="4E7A32A5"/>
    <w:rsid w:val="530D5826"/>
    <w:rsid w:val="534054C7"/>
    <w:rsid w:val="55850CFB"/>
    <w:rsid w:val="5D553FF2"/>
    <w:rsid w:val="5F4D2CDF"/>
    <w:rsid w:val="650F232C"/>
    <w:rsid w:val="66EE29C8"/>
    <w:rsid w:val="6B73690D"/>
    <w:rsid w:val="70D663C9"/>
    <w:rsid w:val="73840D53"/>
    <w:rsid w:val="74176B94"/>
    <w:rsid w:val="7FD734A9"/>
    <w:rsid w:val="7FF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1270</Characters>
  <Lines>10</Lines>
  <Paragraphs>2</Paragraphs>
  <TotalTime>0</TotalTime>
  <ScaleCrop>false</ScaleCrop>
  <LinksUpToDate>false</LinksUpToDate>
  <CharactersWithSpaces>1490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2023-07-10T08:32:00Z</dcterms:created>
  <dc:creator>张 勇</dc:creator>
  <cp:lastModifiedBy>喀什-张永</cp:lastModifiedBy>
  <cp:lastPrinted>2024-07-29T05:32:00Z</cp:lastPrinted>
  <dcterms:modified xsi:type="dcterms:W3CDTF">2024-07-29T05:53:21Z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