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00C4AB">
      <w:pPr>
        <w:keepNext w:val="0"/>
        <w:keepLines w:val="0"/>
        <w:pageBreakBefore w:val="0"/>
        <w:widowControl w:val="0"/>
        <w:kinsoku/>
        <w:wordWrap/>
        <w:overflowPunct/>
        <w:topLinePunct w:val="0"/>
        <w:autoSpaceDE/>
        <w:autoSpaceDN/>
        <w:bidi w:val="0"/>
        <w:adjustRightInd/>
        <w:snapToGrid/>
        <w:spacing w:before="157" w:beforeLines="50" w:line="0" w:lineRule="atLeast"/>
        <w:ind w:firstLine="548" w:firstLineChars="200"/>
        <w:textAlignment w:val="auto"/>
        <w:rPr>
          <w:rFonts w:hint="eastAsia"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drawing>
          <wp:anchor distT="0" distB="0" distL="114300" distR="114300" simplePos="0" relativeHeight="251664384" behindDoc="0" locked="0" layoutInCell="1" allowOverlap="1">
            <wp:simplePos x="0" y="0"/>
            <wp:positionH relativeFrom="column">
              <wp:posOffset>-398780</wp:posOffset>
            </wp:positionH>
            <wp:positionV relativeFrom="paragraph">
              <wp:posOffset>-558800</wp:posOffset>
            </wp:positionV>
            <wp:extent cx="6864350" cy="2499360"/>
            <wp:effectExtent l="0" t="0" r="12700" b="1524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6864350" cy="2499360"/>
                    </a:xfrm>
                    <a:prstGeom prst="rect">
                      <a:avLst/>
                    </a:prstGeom>
                    <a:noFill/>
                    <a:ln>
                      <a:noFill/>
                    </a:ln>
                  </pic:spPr>
                </pic:pic>
              </a:graphicData>
            </a:graphic>
          </wp:anchor>
        </w:drawing>
      </w:r>
      <w:r>
        <w:rPr>
          <w:rFonts w:hint="eastAsia" w:ascii="微软雅黑" w:hAnsi="微软雅黑" w:eastAsia="微软雅黑" w:cs="微软雅黑"/>
          <w:b/>
          <w:bCs/>
          <w:color w:val="3E3E3E"/>
          <w:spacing w:val="27"/>
          <w:sz w:val="22"/>
          <w:szCs w:val="22"/>
          <w:shd w:val="clear" w:color="auto" w:fill="FFFFFF"/>
        </w:rPr>
        <w:t>202</w:t>
      </w:r>
      <w:r>
        <w:rPr>
          <w:rFonts w:hint="eastAsia" w:ascii="微软雅黑" w:hAnsi="微软雅黑" w:eastAsia="微软雅黑" w:cs="微软雅黑"/>
          <w:b/>
          <w:bCs/>
          <w:color w:val="3E3E3E"/>
          <w:spacing w:val="27"/>
          <w:sz w:val="22"/>
          <w:szCs w:val="22"/>
          <w:shd w:val="clear" w:color="auto" w:fill="FFFFFF"/>
          <w:lang w:val="en-US" w:eastAsia="zh-CN"/>
        </w:rPr>
        <w:t>5</w:t>
      </w:r>
      <w:r>
        <w:rPr>
          <w:rFonts w:hint="eastAsia" w:ascii="微软雅黑" w:hAnsi="微软雅黑" w:eastAsia="微软雅黑" w:cs="微软雅黑"/>
          <w:b/>
          <w:bCs/>
          <w:color w:val="3E3E3E"/>
          <w:spacing w:val="27"/>
          <w:sz w:val="22"/>
          <w:szCs w:val="22"/>
          <w:shd w:val="clear" w:color="auto" w:fill="FFFFFF"/>
        </w:rPr>
        <w:t>第1</w:t>
      </w:r>
      <w:r>
        <w:rPr>
          <w:rFonts w:hint="eastAsia" w:ascii="微软雅黑" w:hAnsi="微软雅黑" w:eastAsia="微软雅黑" w:cs="微软雅黑"/>
          <w:b/>
          <w:bCs/>
          <w:color w:val="3E3E3E"/>
          <w:spacing w:val="27"/>
          <w:sz w:val="22"/>
          <w:szCs w:val="22"/>
          <w:shd w:val="clear" w:color="auto" w:fill="FFFFFF"/>
          <w:lang w:val="en-US" w:eastAsia="zh-CN"/>
        </w:rPr>
        <w:t>8</w:t>
      </w:r>
      <w:r>
        <w:rPr>
          <w:rFonts w:hint="eastAsia" w:ascii="微软雅黑" w:hAnsi="微软雅黑" w:eastAsia="微软雅黑" w:cs="微软雅黑"/>
          <w:b/>
          <w:bCs/>
          <w:color w:val="3E3E3E"/>
          <w:spacing w:val="27"/>
          <w:sz w:val="22"/>
          <w:szCs w:val="22"/>
          <w:shd w:val="clear" w:color="auto" w:fill="FFFFFF"/>
        </w:rPr>
        <w:t>届越南(河内)国际交通运输及汽车摩托车零部件展览会（AutoExpo202</w:t>
      </w:r>
      <w:r>
        <w:rPr>
          <w:rFonts w:hint="eastAsia" w:ascii="微软雅黑" w:hAnsi="微软雅黑" w:eastAsia="微软雅黑" w:cs="微软雅黑"/>
          <w:b/>
          <w:bCs/>
          <w:color w:val="3E3E3E"/>
          <w:spacing w:val="27"/>
          <w:sz w:val="22"/>
          <w:szCs w:val="22"/>
          <w:shd w:val="clear" w:color="auto" w:fill="FFFFFF"/>
          <w:lang w:val="en-US" w:eastAsia="zh-CN"/>
        </w:rPr>
        <w:t>5</w:t>
      </w:r>
      <w:r>
        <w:rPr>
          <w:rFonts w:hint="eastAsia" w:ascii="微软雅黑" w:hAnsi="微软雅黑" w:eastAsia="微软雅黑" w:cs="微软雅黑"/>
          <w:b/>
          <w:bCs/>
          <w:color w:val="3E3E3E"/>
          <w:spacing w:val="27"/>
          <w:sz w:val="22"/>
          <w:szCs w:val="22"/>
          <w:shd w:val="clear" w:color="auto" w:fill="FFFFFF"/>
        </w:rPr>
        <w:t>）是每年一届在越南河内市举办的汽车摩托车电动车品牌推广与配套产业领域行业展会。由越南工业与贸易部、工业政策和战略研究所、支持组织的专业汽车、摩托车、电动车及零部件行业展览会，已成功举办1</w:t>
      </w:r>
      <w:r>
        <w:rPr>
          <w:rFonts w:hint="eastAsia" w:ascii="微软雅黑" w:hAnsi="微软雅黑" w:eastAsia="微软雅黑" w:cs="微软雅黑"/>
          <w:b/>
          <w:bCs/>
          <w:color w:val="3E3E3E"/>
          <w:spacing w:val="27"/>
          <w:sz w:val="22"/>
          <w:szCs w:val="22"/>
          <w:shd w:val="clear" w:color="auto" w:fill="FFFFFF"/>
          <w:lang w:val="en-US" w:eastAsia="zh-CN"/>
        </w:rPr>
        <w:t>7</w:t>
      </w:r>
      <w:r>
        <w:rPr>
          <w:rFonts w:hint="eastAsia" w:ascii="微软雅黑" w:hAnsi="微软雅黑" w:eastAsia="微软雅黑" w:cs="微软雅黑"/>
          <w:b/>
          <w:bCs/>
          <w:color w:val="3E3E3E"/>
          <w:spacing w:val="27"/>
          <w:sz w:val="22"/>
          <w:szCs w:val="22"/>
          <w:shd w:val="clear" w:color="auto" w:fill="FFFFFF"/>
        </w:rPr>
        <w:t>届。</w:t>
      </w:r>
    </w:p>
    <w:p w14:paraId="356938DF">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上届AUTOEXPO展出面积共10,000平方米，来自越南、中国、日本、俄罗斯、乌克兰、瑞典、美国、韩国、德国等众多品牌参展参会，连续</w:t>
      </w:r>
      <w:r>
        <w:rPr>
          <w:rFonts w:hint="eastAsia" w:ascii="微软雅黑" w:hAnsi="微软雅黑" w:eastAsia="微软雅黑" w:cs="微软雅黑"/>
          <w:b/>
          <w:bCs/>
          <w:color w:val="3E3E3E"/>
          <w:spacing w:val="27"/>
          <w:sz w:val="22"/>
          <w:szCs w:val="22"/>
          <w:shd w:val="clear" w:color="auto" w:fill="FFFFFF"/>
          <w:lang w:val="en-US" w:eastAsia="zh-CN"/>
        </w:rPr>
        <w:t>3</w:t>
      </w:r>
      <w:r>
        <w:rPr>
          <w:rFonts w:hint="eastAsia" w:ascii="微软雅黑" w:hAnsi="微软雅黑" w:eastAsia="微软雅黑" w:cs="微软雅黑"/>
          <w:b/>
          <w:bCs/>
          <w:color w:val="3E3E3E"/>
          <w:spacing w:val="27"/>
          <w:sz w:val="22"/>
          <w:szCs w:val="22"/>
          <w:shd w:val="clear" w:color="auto" w:fill="FFFFFF"/>
        </w:rPr>
        <w:t>天的展会共吸引了超过38191名的专业观众及买家到场。202</w:t>
      </w:r>
      <w:r>
        <w:rPr>
          <w:rFonts w:hint="eastAsia" w:ascii="微软雅黑" w:hAnsi="微软雅黑" w:eastAsia="微软雅黑" w:cs="微软雅黑"/>
          <w:b/>
          <w:bCs/>
          <w:color w:val="3E3E3E"/>
          <w:spacing w:val="27"/>
          <w:sz w:val="22"/>
          <w:szCs w:val="22"/>
          <w:shd w:val="clear" w:color="auto" w:fill="FFFFFF"/>
          <w:lang w:val="en-US" w:eastAsia="zh-CN"/>
        </w:rPr>
        <w:t>5</w:t>
      </w:r>
      <w:r>
        <w:rPr>
          <w:rFonts w:hint="eastAsia" w:ascii="微软雅黑" w:hAnsi="微软雅黑" w:eastAsia="微软雅黑" w:cs="微软雅黑"/>
          <w:b/>
          <w:bCs/>
          <w:color w:val="3E3E3E"/>
          <w:spacing w:val="27"/>
          <w:sz w:val="22"/>
          <w:szCs w:val="22"/>
          <w:shd w:val="clear" w:color="auto" w:fill="FFFFFF"/>
        </w:rPr>
        <w:t>年展会规划超10000平方450个展位，以汽车、摩托车、电动车及相关零部件为主要展示推广方向。</w:t>
      </w:r>
    </w:p>
    <w:p w14:paraId="3124F3CD">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ascii="微软雅黑" w:hAnsi="微软雅黑" w:eastAsia="微软雅黑" w:cs="微软雅黑"/>
          <w:b/>
          <w:bCs/>
          <w:color w:val="3E3E3E"/>
          <w:spacing w:val="27"/>
          <w:sz w:val="22"/>
          <w:szCs w:val="22"/>
          <w:shd w:val="clear" w:color="auto" w:fill="FFFFFF"/>
        </w:rPr>
        <w:drawing>
          <wp:anchor distT="0" distB="0" distL="114300" distR="114300" simplePos="0" relativeHeight="251663360" behindDoc="0" locked="0" layoutInCell="1" allowOverlap="1">
            <wp:simplePos x="0" y="0"/>
            <wp:positionH relativeFrom="column">
              <wp:posOffset>-12700</wp:posOffset>
            </wp:positionH>
            <wp:positionV relativeFrom="paragraph">
              <wp:posOffset>112395</wp:posOffset>
            </wp:positionV>
            <wp:extent cx="6006465" cy="2179320"/>
            <wp:effectExtent l="0" t="0" r="0" b="50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006465" cy="2179320"/>
                    </a:xfrm>
                    <a:prstGeom prst="rect">
                      <a:avLst/>
                    </a:prstGeom>
                  </pic:spPr>
                </pic:pic>
              </a:graphicData>
            </a:graphic>
          </wp:anchor>
        </w:drawing>
      </w:r>
    </w:p>
    <w:p w14:paraId="2D7FE844">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30C44097">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6E0FFA03">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43190947">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18112392">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3854E794">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3694DF30">
      <w:pPr>
        <w:spacing w:line="0" w:lineRule="atLeast"/>
        <w:rPr>
          <w:rFonts w:ascii="微软雅黑" w:hAnsi="微软雅黑" w:eastAsia="微软雅黑" w:cs="微软雅黑"/>
          <w:b/>
          <w:bCs/>
          <w:color w:val="3E3E3E"/>
          <w:spacing w:val="27"/>
          <w:sz w:val="22"/>
          <w:szCs w:val="22"/>
          <w:shd w:val="clear" w:color="auto" w:fill="FFFFFF"/>
        </w:rPr>
      </w:pPr>
    </w:p>
    <w:p w14:paraId="23483659">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63031F44">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211455</wp:posOffset>
                </wp:positionV>
                <wp:extent cx="2857500" cy="596900"/>
                <wp:effectExtent l="0" t="0" r="0" b="12700"/>
                <wp:wrapNone/>
                <wp:docPr id="2" name="文本框 2"/>
                <wp:cNvGraphicFramePr/>
                <a:graphic xmlns:a="http://schemas.openxmlformats.org/drawingml/2006/main">
                  <a:graphicData uri="http://schemas.microsoft.com/office/word/2010/wordprocessingShape">
                    <wps:wsp>
                      <wps:cNvSpPr txBox="1"/>
                      <wps:spPr>
                        <a:xfrm>
                          <a:off x="0" y="0"/>
                          <a:ext cx="2857500" cy="596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F30E0">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举办背景：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5pt;margin-top:16.65pt;height:47pt;width:225pt;z-index:251660288;mso-width-relative:page;mso-height-relative:page;" filled="f" stroked="f" coordsize="21600,21600" o:gfxdata="UEsDBAoAAAAAAIdO4kAAAAAAAAAAAAAAAAAEAAAAZHJzL1BLAwQUAAAACACHTuJAZI9hudsAAAAK&#10;AQAADwAAAGRycy9kb3ducmV2LnhtbE2Py07DMBBF90j8gzVI7Fo7MY82xKlQpAoJwaKlG3aTeJpE&#10;+BFi9wFfj1nBcnSP7j1Trs7WsCNNYfBOQTYXwMi1Xg+uU7B7W88WwEJEp9F4Rwq+KMCqurwosdD+&#10;5DZ03MaOpRIXClTQxzgWnIe2J4th7kdyKdv7yWJM59RxPeEplVvDcyHuuMXBpYUeR6p7aj+2B6vg&#10;uV6/4qbJ7eLb1E8v+8fxc/d+q9T1VSYegEU6xz8YfvWTOlTJqfEHpwMzCmbZcplQBVJKYAm4kSID&#10;1iQyv5fAq5L/f6H6AVBLAwQUAAAACACHTuJATh00oDwCAABmBAAADgAAAGRycy9lMm9Eb2MueG1s&#10;rVTNbhMxEL4j8Q6W73ST0PQn6qYKrYqQKlopIM6O19tdyfYY2+lueQB4g564cOe5+hx89iZpVTj0&#10;wMUZe2a/me+bmZyc9kazW+VDS7bk470RZ8pKqlp7U/LPny7eHHEWorCV0GRVye9U4Kfz169OOjdT&#10;E2pIV8ozgNgw61zJmxjdrCiCbJQRYY+csnDW5I2IuPqbovKiA7rRxWQ0Oig68pXzJFUIeD0fnHyD&#10;6F8CSHXdSnVOcm2UjQOqV1pEUApN6wKf52rrWsl4VddBRaZLDqYxn0gCe5XOYn4iZjdeuKaVmxLE&#10;S0p4xsmI1iLpDupcRMHWvv0LyrTSU6A67kkyxUAkKwIW49EzbZaNcCpzgdTB7UQP/w9Wfry99qyt&#10;Sj7hzAqDhj/c/3j4+fvh13c2SfJ0LswQtXSIi/076jE02/eAx8S6r71Jv+DD4Ie4dztxVR+ZxOPk&#10;aHo4HcEl4ZseHxzDBnzx+LXzIb5XZFgySu7RvKypuL0McQjdhqRkli5arXMDtWVdyQ/eTkf5g50H&#10;4NoiR+Iw1Jqs2K/6DbEVVXfg5WkYjODkRYvklyLEa+ExCagXuxKvcNSakIQ2FmcN+W//ek/xaBC8&#10;nHWYrJKHr2vhFWf6g0Xrjsf7+4CN+bI/PZzg4p96Vk89dm3OCMM7xlY6mc0UH/XWrD2ZL1ipRcoK&#10;l7ASuUset+ZZHOYdKynVYpGDMHxOxEu7dDJBD3Iu1pHqNiudZBq02aiH8cu92qxKmu+n9xz1+Pc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j2G52wAAAAoBAAAPAAAAAAAAAAEAIAAAACIAAABk&#10;cnMvZG93bnJldi54bWxQSwECFAAUAAAACACHTuJATh00oDwCAABmBAAADgAAAAAAAAABACAAAAAq&#10;AQAAZHJzL2Uyb0RvYy54bWxQSwUGAAAAAAYABgBZAQAA2AUAAAAA&#10;">
                <v:fill on="f" focussize="0,0"/>
                <v:stroke on="f" weight="0.5pt"/>
                <v:imagedata o:title=""/>
                <o:lock v:ext="edit" aspectratio="f"/>
                <v:textbox>
                  <w:txbxContent>
                    <w:p w14:paraId="727F30E0">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举办背景：</w:t>
                      </w:r>
                    </w:p>
                  </w:txbxContent>
                </v:textbox>
              </v:shape>
            </w:pict>
          </mc:Fallback>
        </mc:AlternateContent>
      </w:r>
    </w:p>
    <w:p w14:paraId="2B671421">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35560</wp:posOffset>
                </wp:positionV>
                <wp:extent cx="6058535" cy="409575"/>
                <wp:effectExtent l="0" t="0" r="12065" b="0"/>
                <wp:wrapNone/>
                <wp:docPr id="1" name="五边形 1"/>
                <wp:cNvGraphicFramePr/>
                <a:graphic xmlns:a="http://schemas.openxmlformats.org/drawingml/2006/main">
                  <a:graphicData uri="http://schemas.microsoft.com/office/word/2010/wordprocessingShape">
                    <wps:wsp>
                      <wps:cNvSpPr/>
                      <wps:spPr>
                        <a:xfrm>
                          <a:off x="0" y="0"/>
                          <a:ext cx="6058535" cy="40957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pt;margin-top:2.8pt;height:32.25pt;width:477.05pt;z-index:251659264;v-text-anchor:middle;mso-width-relative:page;mso-height-relative:page;" fillcolor="#BDD7EE [1300]" filled="t" stroked="f" coordsize="21600,21600" o:gfxdata="UEsDBAoAAAAAAIdO4kAAAAAAAAAAAAAAAAAEAAAAZHJzL1BLAwQUAAAACACHTuJAAkyoM9YAAAAH&#10;AQAADwAAAGRycy9kb3ducmV2LnhtbE2PwU7DMBBE70j8g7VI3Fo7QSklZNMDEgfKBVw+wE2WJGCv&#10;Q+ympV+POcFxNKOZN9Xm5KyYaQqDZ4RsqUAQN74duEN42z0u1iBCNNwa65kQvinApr68qEzZ+iO/&#10;0qxjJ1IJh9Ig9DGOpZSh6cmZsPQjcfLe/eRMTHLqZDuZYyp3VuZKraQzA6eF3oz00FPzqQ8O4SOf&#10;b7a7td6OX8/+iXRx1i/2jHh9lal7EJFO8S8Mv/gJHerEtPcHboOwCIs8XYkIxQpEsu+KPAOxR7hV&#10;Gci6kv/56x9QSwMEFAAAAAgAh07iQMYhQgaRAgAADAUAAA4AAABkcnMvZTJvRG9jLnhtbK1U224T&#10;MRB9R+IfLL/T3YSkaaMmVWhahFRopIJ4drzerCXfsJ1L+x39Av4CJPgakPgMjr3bC4WHPpCHzcx4&#10;9syZ45k9Ot5pRTbCB2nNhPb2SkqE4baSZjWhH96fvTigJERmKqasERN6JQI9nj5/drR1Y9G3jVWV&#10;8AQgJoy3bkKbGN24KAJvhGZhzzphcFhbr1mE61dF5dkW6FoV/bLcL7bWV85bLkJAdN4e0g7RPwXQ&#10;1rXkYm75WgsTW1QvFItoKTTSBTrNbOta8HhR10FEoiYUncb8RBHYy/QspkdsvPLMNZJ3FNhTKDzq&#10;STNpUPQOas4iI2sv/4LSknsbbB33uNVF20hWBF30ykfaXDbMidwLpA7uTvTw/2D5u83CE1lhEigx&#10;TOPCf3y9+fX9y89vn0kvybN1YYysS7fwnRdgpl53tdfpH12QXZb06k5SsYuEI7hfDg+GL4eUcJwN&#10;ysPhaJhAi/u3nQ/xtbCaJAONWS0WuMrUNxuzzXmIbf5tXgoHq2R1JpXKjl8tT5QnG4Y7fjWfj05P&#10;87tqrd/aqg0PSvzay0YYI9GG92/D4BNamMztD3xlyBby9EdAIJxh5Gvwg6kdZAtmRQlTK+wSjz4X&#10;NjZRA2s2TqTnLDRtuQzbstAyYouU1BN6kEhkcmChDAgkyVuRk7W01RXuyNt2eIPjZxKw5yzEBfOY&#10;VtDCPscLPGplwdV2FiWN9df/iqf8pLW/pmSL6Ucfn9bMC0rUG4PxOuwNBmldsjMYjvpw/MOT5cMT&#10;s9YnFuJjhMAumyk/qluz9lZ/xNrPUlUcMcNRu1Wsc05iu5X4cHAxm+U0rIhj8dxcOp7Ak6DGztbR&#10;1jIPxb06nWhYknx/3UKnLXzo56z7j9j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JMqDPWAAAA&#10;BwEAAA8AAAAAAAAAAQAgAAAAIgAAAGRycy9kb3ducmV2LnhtbFBLAQIUABQAAAAIAIdO4kDGIUIG&#10;kQIAAAwFAAAOAAAAAAAAAAEAIAAAACUBAABkcnMvZTJvRG9jLnhtbFBLBQYAAAAABgAGAFkBAAAo&#10;BgAAAAA=&#10;" adj="20870">
                <v:fill on="t" focussize="0,0"/>
                <v:stroke on="f" weight="1pt" miterlimit="8" joinstyle="miter"/>
                <v:imagedata o:title=""/>
                <o:lock v:ext="edit" aspectratio="f"/>
              </v:shape>
            </w:pict>
          </mc:Fallback>
        </mc:AlternateContent>
      </w:r>
    </w:p>
    <w:p w14:paraId="71EA802B">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29B45643">
      <w:pPr>
        <w:spacing w:line="0" w:lineRule="atLeast"/>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4472C4" w:themeColor="accent5"/>
          <w:spacing w:val="27"/>
          <w:sz w:val="24"/>
          <w:shd w:val="clear" w:color="auto" w:fill="FFFFFF"/>
          <w14:textFill>
            <w14:solidFill>
              <w14:schemeClr w14:val="accent5"/>
            </w14:solidFill>
          </w14:textFill>
        </w:rPr>
        <w:t>全球投资趋之若鹜的东南亚新兴市场</w:t>
      </w:r>
    </w:p>
    <w:p w14:paraId="2E4C6439">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越南人口总量9950万，人口高度年轻化。经济发展迅速，近年经济</w:t>
      </w:r>
      <w:r>
        <w:rPr>
          <w:rFonts w:hint="eastAsia" w:ascii="微软雅黑" w:hAnsi="微软雅黑" w:eastAsia="微软雅黑" w:cs="微软雅黑"/>
          <w:b/>
          <w:bCs/>
          <w:color w:val="3E3E3E"/>
          <w:spacing w:val="27"/>
          <w:sz w:val="22"/>
          <w:szCs w:val="22"/>
          <w:shd w:val="clear" w:color="auto" w:fill="FFFFFF"/>
          <w:lang w:val="en-US" w:eastAsia="zh-CN"/>
        </w:rPr>
        <w:t>长期</w:t>
      </w:r>
      <w:r>
        <w:rPr>
          <w:rFonts w:hint="eastAsia" w:ascii="微软雅黑" w:hAnsi="微软雅黑" w:eastAsia="微软雅黑" w:cs="微软雅黑"/>
          <w:b/>
          <w:bCs/>
          <w:color w:val="3E3E3E"/>
          <w:spacing w:val="27"/>
          <w:sz w:val="22"/>
          <w:szCs w:val="22"/>
          <w:shd w:val="clear" w:color="auto" w:fill="FFFFFF"/>
        </w:rPr>
        <w:t>保持在6-7%的增长速度，2022年更是达到惊人的8.02%，越南货物进出口总额达到7325亿美元，GDP总量4090美金。而中国</w:t>
      </w:r>
      <w:r>
        <w:rPr>
          <w:rFonts w:hint="eastAsia" w:ascii="微软雅黑" w:hAnsi="微软雅黑" w:eastAsia="微软雅黑" w:cs="微软雅黑"/>
          <w:b/>
          <w:bCs/>
          <w:color w:val="3E3E3E"/>
          <w:spacing w:val="27"/>
          <w:sz w:val="22"/>
          <w:szCs w:val="22"/>
          <w:shd w:val="clear" w:color="auto" w:fill="FFFFFF"/>
          <w:lang w:val="en-US" w:eastAsia="zh-CN"/>
        </w:rPr>
        <w:t>依旧</w:t>
      </w:r>
      <w:r>
        <w:rPr>
          <w:rFonts w:hint="eastAsia" w:ascii="微软雅黑" w:hAnsi="微软雅黑" w:eastAsia="微软雅黑" w:cs="微软雅黑"/>
          <w:b/>
          <w:bCs/>
          <w:color w:val="3E3E3E"/>
          <w:spacing w:val="27"/>
          <w:sz w:val="22"/>
          <w:szCs w:val="22"/>
          <w:shd w:val="clear" w:color="auto" w:fill="FFFFFF"/>
        </w:rPr>
        <w:t>是越南最大的进口市场，2022年中国与越南的进出口贸易总额约为2250亿美元。其中越南进口中国约1420亿美金，中国</w:t>
      </w:r>
      <w:r>
        <w:rPr>
          <w:rFonts w:hint="eastAsia" w:ascii="微软雅黑" w:hAnsi="微软雅黑" w:eastAsia="微软雅黑" w:cs="微软雅黑"/>
          <w:b/>
          <w:bCs/>
          <w:color w:val="3E3E3E"/>
          <w:spacing w:val="27"/>
          <w:sz w:val="22"/>
          <w:szCs w:val="22"/>
          <w:shd w:val="clear" w:color="auto" w:fill="FFFFFF"/>
          <w:lang w:val="en-US" w:eastAsia="zh-CN"/>
        </w:rPr>
        <w:t>依旧</w:t>
      </w:r>
      <w:r>
        <w:rPr>
          <w:rFonts w:hint="eastAsia" w:ascii="微软雅黑" w:hAnsi="微软雅黑" w:eastAsia="微软雅黑" w:cs="微软雅黑"/>
          <w:b/>
          <w:bCs/>
          <w:color w:val="3E3E3E"/>
          <w:spacing w:val="27"/>
          <w:sz w:val="22"/>
          <w:szCs w:val="22"/>
          <w:shd w:val="clear" w:color="auto" w:fill="FFFFFF"/>
        </w:rPr>
        <w:t>是越南最大进口来源国。</w:t>
      </w:r>
    </w:p>
    <w:p w14:paraId="67382DB0">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当前越南汽摩电配套零部件及用品约80%依赖进口，其中60%进口中国。越南当前登记流通的汽车超过500万辆，预计2030-2035年期间，越南将进入机动化和现代交通基础设施建设时期，汽车保有量将增长约3-5倍。摩托车保有量近7000万辆，绝大部分为外国品牌，但摩托车零部件大部分进口中国大陆地区。2-4轮电动车保有量300多万辆，本土组装品牌销量可观，越南的大城市禁摩呼声已久，出台各项优惠政策推进两轮车“油改电”，预计到2025年摩托车油改电将增加20%的份额。尽管越南电动两轮车（越南称之为“电动摩托车”）市场进入了市场饱和周期，但预计 2023-2030 年期间的总需求量仍将超过每年 270 万辆的增长空间。随着东南亚国家放宽入境限制，消费预期转好，经济向好带动汽摩电车行业的消费增长。</w:t>
      </w:r>
    </w:p>
    <w:p w14:paraId="269D69C0">
      <w:pPr>
        <w:spacing w:line="0" w:lineRule="atLeast"/>
        <w:ind w:firstLine="480"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color w:val="333333"/>
          <w:sz w:val="24"/>
          <w:shd w:val="clear" w:color="auto" w:fill="FFFFFF"/>
          <w:lang w:eastAsia="zh-CN"/>
        </w:rPr>
        <w:drawing>
          <wp:anchor distT="0" distB="0" distL="114300" distR="114300" simplePos="0" relativeHeight="251665408" behindDoc="0" locked="0" layoutInCell="1" allowOverlap="1">
            <wp:simplePos x="0" y="0"/>
            <wp:positionH relativeFrom="column">
              <wp:posOffset>-328295</wp:posOffset>
            </wp:positionH>
            <wp:positionV relativeFrom="paragraph">
              <wp:posOffset>131445</wp:posOffset>
            </wp:positionV>
            <wp:extent cx="6613525" cy="1602740"/>
            <wp:effectExtent l="0" t="0" r="15875" b="16510"/>
            <wp:wrapTopAndBottom/>
            <wp:docPr id="6" name="图片 6" descr="172120471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1204718120"/>
                    <pic:cNvPicPr>
                      <a:picLocks noChangeAspect="1"/>
                    </pic:cNvPicPr>
                  </pic:nvPicPr>
                  <pic:blipFill>
                    <a:blip r:embed="rId6"/>
                    <a:stretch>
                      <a:fillRect/>
                    </a:stretch>
                  </pic:blipFill>
                  <pic:spPr>
                    <a:xfrm>
                      <a:off x="0" y="0"/>
                      <a:ext cx="6613525" cy="1602740"/>
                    </a:xfrm>
                    <a:prstGeom prst="rect">
                      <a:avLst/>
                    </a:prstGeom>
                  </pic:spPr>
                </pic:pic>
              </a:graphicData>
            </a:graphic>
          </wp:anchor>
        </w:drawing>
      </w:r>
      <w:r>
        <w:rPr>
          <w:sz w:val="22"/>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250825</wp:posOffset>
                </wp:positionV>
                <wp:extent cx="5372100" cy="396875"/>
                <wp:effectExtent l="0" t="0" r="0" b="9525"/>
                <wp:wrapNone/>
                <wp:docPr id="18" name="文本框 18"/>
                <wp:cNvGraphicFramePr/>
                <a:graphic xmlns:a="http://schemas.openxmlformats.org/drawingml/2006/main">
                  <a:graphicData uri="http://schemas.microsoft.com/office/word/2010/wordprocessingShape">
                    <wps:wsp>
                      <wps:cNvSpPr txBox="1"/>
                      <wps:spPr>
                        <a:xfrm>
                          <a:off x="0" y="0"/>
                          <a:ext cx="537210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7051A">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参展费用：</w:t>
                            </w:r>
                          </w:p>
                          <w:p w14:paraId="61BA71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19.75pt;height:31.25pt;width:423pt;z-index:251662336;mso-width-relative:page;mso-height-relative:page;" filled="f" stroked="f" coordsize="21600,21600" o:gfxdata="UEsDBAoAAAAAAIdO4kAAAAAAAAAAAAAAAAAEAAAAZHJzL1BLAwQUAAAACACHTuJAleM9JNoAAAAJ&#10;AQAADwAAAGRycy9kb3ducmV2LnhtbE2Py07DMBBF90j8gzVI7Fo7oUVpiFOhSBUSgkVLN+wm8TSJ&#10;iO0Quw/4eoYVLEf36N4zxfpiB3GiKfTeaUjmCgS5xpvetRr2b5tZBiJEdAYH70jDFwVYl9dXBebG&#10;n92WTrvYCi5xIUcNXYxjLmVoOrIY5n4kx9nBTxYjn1MrzYRnLreDTJW6lxZ7xwsdjlR11HzsjlbD&#10;c7V5xW2d2ux7qJ5eDo/j5/59qfXtTaIeQES6xD8YfvVZHUp2qv3RmSAGDbNkxaSGu9USBOfZYpGA&#10;qBlUqQJZFvL/B+UPUEsDBBQAAAAIAIdO4kBW2vzoPQIAAGgEAAAOAAAAZHJzL2Uyb0RvYy54bWyt&#10;VM1uEzEQviPxDpbvdJO06U/UTRVaFSFVtFJBnB2vt7uS7TG2093yAPAGnLhw57nyHHz2JmlVOPTA&#10;xRnPzH7j75uZnJ71RrN75UNLtuTjvRFnykqqWntX8k8fL98ccxaisJXQZFXJH1TgZ/PXr047N1MT&#10;akhXyjOA2DDrXMmbGN2sKIJslBFhj5yyCNbkjYi4+rui8qIDutHFZDQ6LDrylfMkVQjwXgxBvkH0&#10;LwGkum6luiC5MsrGAdUrLSIohaZ1gc/za+tayXhd10FFpksOpjGfKAJ7mc5ifipmd164ppWbJ4iX&#10;POEZJyNai6I7qAsRBVv59i8o00pPgeq4J8kUA5GsCFiMR8+0uW2EU5kLpA5uJ3r4f7Dyw/2NZ22F&#10;SUDfrTDo+PrH9/XP3+tf3xh8EKhzYYa8W4fM2L+lHslbf4Az8e5rb9IvGDHEIe/DTl7VRybhnO4f&#10;TcYjhCRi+yeHx0fTBFM8fu18iO8UGZaMknu0L6sq7q9CHFK3KamYpctW69xCbVlX8sP96Sh/sIsA&#10;XFvUSByGtyYr9st+Q2xJ1QN4eRpGIzh52aL4lQjxRnjMAt6LbYnXOGpNKEIbi7OG/Nd/+VM+WoQo&#10;Zx1mq+Thy0p4xZl+b9G8k/HBAWBjvhxMjya4+KeR5dOIXZlzwviOsZdOZjPlR701a0/mM5Zqkaoi&#10;JKxE7ZLHrXkeh4nHUkq1WOQkjJ8T8creOpmgBzkXq0h1m5VOMg3abNTDAOZebZYlTfjTe856/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4z0k2gAAAAkBAAAPAAAAAAAAAAEAIAAAACIAAABk&#10;cnMvZG93bnJldi54bWxQSwECFAAUAAAACACHTuJAVtr86D0CAABoBAAADgAAAAAAAAABACAAAAAp&#10;AQAAZHJzL2Uyb0RvYy54bWxQSwUGAAAAAAYABgBZAQAA2AUAAAAA&#10;">
                <v:fill on="f" focussize="0,0"/>
                <v:stroke on="f" weight="0.5pt"/>
                <v:imagedata o:title=""/>
                <o:lock v:ext="edit" aspectratio="f"/>
                <v:textbox>
                  <w:txbxContent>
                    <w:p w14:paraId="4CB7051A">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参展费用：</w:t>
                      </w:r>
                    </w:p>
                    <w:p w14:paraId="61BA71C0"/>
                  </w:txbxContent>
                </v:textbox>
              </v:shape>
            </w:pict>
          </mc:Fallback>
        </mc:AlternateContent>
      </w:r>
    </w:p>
    <w:p w14:paraId="5DFBF9E3">
      <w:pPr>
        <w:spacing w:line="0" w:lineRule="atLeast"/>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-26670</wp:posOffset>
                </wp:positionV>
                <wp:extent cx="5372100" cy="3968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7210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6B56F">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参展费用：</w:t>
                            </w:r>
                          </w:p>
                          <w:p w14:paraId="04CD755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2.1pt;height:31.25pt;width:423pt;z-index:251666432;mso-width-relative:page;mso-height-relative:page;" filled="f" stroked="f" coordsize="21600,21600" o:gfxdata="UEsDBAoAAAAAAIdO4kAAAAAAAAAAAAAAAAAEAAAAZHJzL1BLAwQUAAAACACHTuJA91KDztoAAAAI&#10;AQAADwAAAGRycy9kb3ducmV2LnhtbE2PzU7DMBCE70i8g7VI3FonIUVpGqdCkSokBIeWXrg58TaJ&#10;iNchdn/g6VlO5TRazWjm22J9sYM44eR7RwrieQQCqXGmp1bB/n0zy0D4oMnowREq+EYP6/L2ptC5&#10;cWfa4mkXWsEl5HOtoAthzKX0TYdW+7kbkdg7uMnqwOfUSjPpM5fbQSZR9Cit7okXOj1i1WHzuTta&#10;BS/V5k1v68RmP0P1/Hp4Gr/2Hwul7u/iaAUi4CVcw/CHz+hQMlPtjmS8GBTM4iUnWdMEBPtZmsYg&#10;agWL7AFkWcj/D5S/UEsDBBQAAAAIAIdO4kCakN2vOwIAAGYEAAAOAAAAZHJzL2Uyb0RvYy54bWyt&#10;VM2O0zAQviPxDpbvNP3fbtV0VbYqQqrYlQri7DpOE8n2GNttUh4A3oATF+48V5+DsZN2q4XDHri4&#10;Y8/km/m+mensrlaSHIR1JeiU9jpdSoTmkJV6l9JPH1dvJpQ4z3TGJGiR0qNw9G7++tWsMlPRhwJk&#10;JixBEO2mlUlp4b2ZJonjhVDMdcAIjc4crGIer3aXZJZViK5k0u92x0kFNjMWuHAOX5eNk7aI9iWA&#10;kOclF0vgeyW0b1CtkMwjJVeUxtF5rDbPBfcPee6EJzKlyNTHE5OgvQ1nMp+x6c4yU5S8LYG9pIRn&#10;nBQrNSa9QC2ZZ2Rvy7+gVMktOMh9h4NKGiJREWTR6z7TZlMwIyIXlNqZi+ju/8HyD4dHS8ospdh2&#10;zRQ2/PTj++nn79Ovb2QS5KmMm2LUxmCcr99CjUNzfnf4GFjXuVXhF/kQ9KO4x4u4ovaE4+NocNPv&#10;ddHF0Te4HU9uRgEmefraWOffCVAkGCm12LyoKTusnW9CzyEhmYZVKWVsoNSkSul4MOrGDy4eBJca&#10;cwQOTa3B8vW2boltITsiLwvNYDjDVyUmXzPnH5nFScB6cVf8Ax65BEwCrUVJAfbrv95DPDYIvZRU&#10;OFkpdV/2zApK5HuNrbvtDYcI6+NlOLrp48Vee7bXHr1X94DD28OtNDyaId7Ls5lbUJ9xpRYhK7qY&#10;5pg7pf5s3vtm3nEluVgsYhAOn2F+rTeGB+hGzsXeQ15GpYNMjTatejh+sVftqoT5vr7HqKe/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1KDztoAAAAIAQAADwAAAAAAAAABACAAAAAiAAAAZHJz&#10;L2Rvd25yZXYueG1sUEsBAhQAFAAAAAgAh07iQJqQ3a87AgAAZgQAAA4AAAAAAAAAAQAgAAAAKQEA&#10;AGRycy9lMm9Eb2MueG1sUEsFBgAAAAAGAAYAWQEAANYFAAAAAA==&#10;">
                <v:fill on="f" focussize="0,0"/>
                <v:stroke on="f" weight="0.5pt"/>
                <v:imagedata o:title=""/>
                <o:lock v:ext="edit" aspectratio="f"/>
                <v:textbox>
                  <w:txbxContent>
                    <w:p w14:paraId="1406B56F">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参展费用：</w:t>
                      </w:r>
                    </w:p>
                    <w:p w14:paraId="04CD755A"/>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6045835" cy="409575"/>
                <wp:effectExtent l="0" t="0" r="0" b="0"/>
                <wp:wrapNone/>
                <wp:docPr id="16" name="五边形 16"/>
                <wp:cNvGraphicFramePr/>
                <a:graphic xmlns:a="http://schemas.openxmlformats.org/drawingml/2006/main">
                  <a:graphicData uri="http://schemas.microsoft.com/office/word/2010/wordprocessingShape">
                    <wps:wsp>
                      <wps:cNvSpPr/>
                      <wps:spPr>
                        <a:xfrm>
                          <a:off x="0" y="0"/>
                          <a:ext cx="6045835" cy="40957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0pt;margin-top:0.3pt;height:32.25pt;width:476.05pt;z-index:251661312;v-text-anchor:middle;mso-width-relative:page;mso-height-relative:page;" fillcolor="#BDD7EE [1300]" filled="t" stroked="f" coordsize="21600,21600" o:gfxdata="UEsDBAoAAAAAAIdO4kAAAAAAAAAAAAAAAAAEAAAAZHJzL1BLAwQUAAAACACHTuJAmLxpqdAAAAAE&#10;AQAADwAAAGRycy9kb3ducmV2LnhtbE2PzU7DMBCE70i8g7VI3KidVq0gxOmhFaeeWvoArr3EUex1&#10;FLs/9OlZTnAczWjmm2Z9i0FccMp9Ig3VTIFAssn11Gk4fn68vILIxZAzIRFq+MYM6/bxoTG1S1fa&#10;4+VQOsEllGujwZcy1lJm6zGaPEsjEntfaYqmsJw66SZz5fIY5FyplYymJ17wZsSNRzsczlHDQg12&#10;UHcf3Nbudy6Vo8fFoPXzU6XeQRS8lb8w/OIzOrTMdEpnclkEDXykaFiBYO9tOa9AnFguK5BtI//D&#10;tz9QSwMEFAAAAAgAh07iQGHmaymSAgAADgUAAA4AAABkcnMvZTJvRG9jLnhtbK1U224TMRB9R+If&#10;LL/T3YRc2qhJFZoWIRUaqSCeHa83a8k3bOdSvoMv4C9Agq8Bic/g2Lu9UHjoA3lwZsazx2eOZ3x8&#10;steKbIUP0pop7R2UlAjDbSXNekrfvT1/dkhJiMxUTFkjpvRaBHoye/rkeOcmom8bqyrhCUBMmOzc&#10;lDYxuklRBN4IzcKBdcJgs7ZeswjXr4vKsx3QtSr6ZTkqdtZXzlsuQkB00W7SDtE/BtDWteRiYflG&#10;CxNbVC8UiygpNNIFOsts61rweFnXQUSiphSVxrziENirtBazYzZZe+YayTsK7DEUHtSkmTQ49BZq&#10;wSIjGy//gtKSextsHQ+41UVbSFYEVfTKB9pcNcyJXAukDu5W9PD/YPmb7dITWaETRpQYpnHjP75+&#10;+vX9y89vnwliEGjnwgR5V27pOy/ATNXua6/TP+og+yzq9a2oYh8JR3BUDoaHz4eUcOwNyqPheJhA&#10;i7uvnQ/xpbCaJAOlWS2WuMxUOZuw7UWIbf5NXgoHq2R1LpXKjl+vTpUnW4ZbfrFYjM/O8rdqo1/b&#10;qg0PSvza60YYTdGGRzdh8AktTOb2B74yZAeB+mMgEM7Q9DX4wdQOwgWzpoSpNaaJR58PNjZRA2s2&#10;SaQXLDTtcRm2ZaFlxBwpqaf0MJHI5MBCGRBIkrciJ2tlq2vckrdt+wbHzyVgL1iIS+bRr6CFiY6X&#10;WGplwdV2FiWN9R//FU/5SWv/kZId+h91fNgwLyhRrwwa7Kg3GKSByc5gOO7D8fd3Vvd3zEafWojf&#10;w9vheDZTflQ3Zu2tfo/Bn6dTscUMx9mtYp1zGtu5xNPBxXye0zAkjsULc+V4Ak+CGjvfRFvL3BR3&#10;6nSiYUzy/XUjnebwvp+z7p6x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vGmp0AAAAAQBAAAP&#10;AAAAAAAAAAEAIAAAACIAAABkcnMvZG93bnJldi54bWxQSwECFAAUAAAACACHTuJAYeZrKZICAAAO&#10;BQAADgAAAAAAAAABACAAAAAfAQAAZHJzL2Uyb0RvYy54bWxQSwUGAAAAAAYABgBZAQAAIwYAAAAA&#10;" adj="20869">
                <v:fill on="t" focussize="0,0"/>
                <v:stroke on="f" weight="1pt" miterlimit="8" joinstyle="miter"/>
                <v:imagedata o:title=""/>
                <o:lock v:ext="edit" aspectratio="f"/>
              </v:shape>
            </w:pict>
          </mc:Fallback>
        </mc:AlternateContent>
      </w:r>
    </w:p>
    <w:p w14:paraId="148ED9E9">
      <w:pPr>
        <w:spacing w:line="0" w:lineRule="atLeast"/>
        <w:rPr>
          <w:rFonts w:ascii="微软雅黑" w:hAnsi="微软雅黑" w:eastAsia="微软雅黑" w:cs="微软雅黑"/>
          <w:color w:val="3E3E3E"/>
          <w:spacing w:val="27"/>
          <w:szCs w:val="21"/>
          <w:shd w:val="clear" w:color="auto" w:fill="FFFFFF"/>
        </w:rPr>
      </w:pPr>
    </w:p>
    <w:p w14:paraId="0D89EA57">
      <w:pPr>
        <w:spacing w:line="0" w:lineRule="atLeast"/>
        <w:rPr>
          <w:rFonts w:ascii="微软雅黑" w:hAnsi="微软雅黑" w:eastAsia="微软雅黑" w:cs="微软雅黑"/>
          <w:b/>
          <w:bCs/>
          <w:color w:val="3E3E3E"/>
          <w:spacing w:val="27"/>
          <w:sz w:val="28"/>
          <w:szCs w:val="28"/>
          <w:shd w:val="clear" w:color="auto" w:fill="FFFFFF"/>
        </w:rPr>
      </w:pPr>
      <w:r>
        <w:rPr>
          <w:rFonts w:hint="eastAsia"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w:t>
      </w:r>
      <w:r>
        <w:t xml:space="preserve"> </w:t>
      </w:r>
      <w:r>
        <w:rPr>
          <w:rFonts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AutoExpo202</w:t>
      </w:r>
      <w:r>
        <w:rPr>
          <w:rFonts w:hint="eastAsia" w:ascii="微软雅黑" w:hAnsi="微软雅黑" w:eastAsia="微软雅黑" w:cs="微软雅黑"/>
          <w:b/>
          <w:bCs/>
          <w:color w:val="4472C4" w:themeColor="accent5"/>
          <w:spacing w:val="27"/>
          <w:sz w:val="28"/>
          <w:szCs w:val="28"/>
          <w:shd w:val="clear" w:color="auto" w:fill="FFFFFF"/>
          <w:lang w:val="en-US" w:eastAsia="zh-CN"/>
          <w14:textFill>
            <w14:solidFill>
              <w14:schemeClr w14:val="accent5"/>
            </w14:solidFill>
          </w14:textFill>
        </w:rPr>
        <w:t>5</w:t>
      </w:r>
      <w:r>
        <w:rPr>
          <w:rFonts w:hint="eastAsia"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w:t>
      </w:r>
    </w:p>
    <w:p w14:paraId="08868EF5">
      <w:pPr>
        <w:spacing w:line="0" w:lineRule="atLeast"/>
        <w:jc w:val="center"/>
        <w:rPr>
          <w:rFonts w:ascii="微软雅黑" w:hAnsi="微软雅黑" w:eastAsia="微软雅黑" w:cs="微软雅黑"/>
          <w:b/>
          <w:bCs/>
          <w:color w:val="1F4E79" w:themeColor="accent1" w:themeShade="80"/>
          <w:spacing w:val="27"/>
          <w:sz w:val="28"/>
          <w:szCs w:val="28"/>
          <w:shd w:val="clear" w:color="auto" w:fill="FFFFFF"/>
        </w:rPr>
      </w:pPr>
      <w:r>
        <w:rPr>
          <w:rFonts w:hint="eastAsia" w:ascii="微软雅黑" w:hAnsi="微软雅黑" w:eastAsia="微软雅黑" w:cs="微软雅黑"/>
          <w:b/>
          <w:bCs/>
          <w:color w:val="1F4E79" w:themeColor="accent1" w:themeShade="80"/>
          <w:spacing w:val="27"/>
          <w:sz w:val="28"/>
          <w:szCs w:val="28"/>
          <w:shd w:val="clear" w:color="auto" w:fill="FFFFFF"/>
        </w:rPr>
        <w:t>参展产品范围</w:t>
      </w:r>
    </w:p>
    <w:p w14:paraId="41938B56">
      <w:pPr>
        <w:spacing w:line="0" w:lineRule="atLeast"/>
        <w:jc w:val="center"/>
        <w:rPr>
          <w:rFonts w:ascii="微软雅黑" w:hAnsi="微软雅黑" w:eastAsia="微软雅黑" w:cs="微软雅黑"/>
          <w:b/>
          <w:bCs/>
          <w:color w:val="1F4E79" w:themeColor="accent1" w:themeShade="80"/>
          <w:spacing w:val="27"/>
          <w:sz w:val="13"/>
          <w:szCs w:val="13"/>
          <w:shd w:val="clear" w:color="auto" w:fill="FFFFFF"/>
        </w:rPr>
      </w:pPr>
    </w:p>
    <w:p w14:paraId="5016ADF8">
      <w:pPr>
        <w:spacing w:line="0" w:lineRule="atLeast"/>
        <w:jc w:val="lef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FF0000"/>
          <w:spacing w:val="27"/>
          <w:sz w:val="22"/>
          <w:szCs w:val="22"/>
          <w:shd w:val="clear" w:color="auto" w:fill="FFFFFF"/>
        </w:rPr>
        <w:t>整车展示：</w:t>
      </w:r>
      <w:r>
        <w:rPr>
          <w:rFonts w:hint="eastAsia" w:ascii="微软雅黑" w:hAnsi="微软雅黑" w:eastAsia="微软雅黑" w:cs="微软雅黑"/>
          <w:color w:val="3E3E3E"/>
          <w:spacing w:val="27"/>
          <w:sz w:val="22"/>
          <w:szCs w:val="22"/>
          <w:shd w:val="clear" w:color="auto" w:fill="FFFFFF"/>
        </w:rPr>
        <w:t>各种汽车、摩托车、电动汽车、电动两轮车、观光车整车等。</w:t>
      </w:r>
    </w:p>
    <w:p w14:paraId="36CF453E">
      <w:pPr>
        <w:spacing w:line="0" w:lineRule="atLeast"/>
        <w:jc w:val="left"/>
        <w:rPr>
          <w:rFonts w:ascii="微软雅黑" w:hAnsi="微软雅黑" w:eastAsia="微软雅黑" w:cs="微软雅黑"/>
          <w:color w:val="FF0000"/>
          <w:spacing w:val="27"/>
          <w:sz w:val="22"/>
          <w:szCs w:val="22"/>
          <w:shd w:val="clear" w:color="auto" w:fill="FFFFFF"/>
        </w:rPr>
      </w:pPr>
    </w:p>
    <w:p w14:paraId="096FAC87">
      <w:pPr>
        <w:spacing w:line="0" w:lineRule="atLeast"/>
        <w:jc w:val="lef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FF0000"/>
          <w:spacing w:val="27"/>
          <w:sz w:val="22"/>
          <w:szCs w:val="22"/>
          <w:shd w:val="clear" w:color="auto" w:fill="FFFFFF"/>
        </w:rPr>
        <w:t>零部件展示：</w:t>
      </w:r>
      <w:r>
        <w:rPr>
          <w:rFonts w:hint="eastAsia" w:ascii="微软雅黑" w:hAnsi="微软雅黑" w:eastAsia="微软雅黑" w:cs="微软雅黑"/>
          <w:color w:val="3E3E3E"/>
          <w:spacing w:val="27"/>
          <w:sz w:val="22"/>
          <w:szCs w:val="22"/>
          <w:shd w:val="clear" w:color="auto" w:fill="FFFFFF"/>
        </w:rPr>
        <w:t>发动机系统、传动系统、底盘系统、排气系统；各种车辆轮胎及轮毂、车桥、倒车镜、车锁、转向、制动、轴承、活塞、火花塞、悬挂系统、车身用附件、车用空调及制冷设备、电机、电器、电子器件、电器系统、电路、电池、电源、汽车环保及节能产品等。</w:t>
      </w:r>
    </w:p>
    <w:p w14:paraId="2D6FDB4D">
      <w:pPr>
        <w:spacing w:line="0" w:lineRule="atLeast"/>
        <w:jc w:val="left"/>
        <w:rPr>
          <w:rFonts w:ascii="微软雅黑" w:hAnsi="微软雅黑" w:eastAsia="微软雅黑" w:cs="微软雅黑"/>
          <w:color w:val="FF0000"/>
          <w:spacing w:val="27"/>
          <w:sz w:val="22"/>
          <w:szCs w:val="22"/>
          <w:shd w:val="clear" w:color="auto" w:fill="FFFFFF"/>
        </w:rPr>
      </w:pPr>
    </w:p>
    <w:p w14:paraId="061C1102">
      <w:pPr>
        <w:spacing w:line="0" w:lineRule="atLeast"/>
        <w:jc w:val="lef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FF0000"/>
          <w:spacing w:val="27"/>
          <w:sz w:val="22"/>
          <w:szCs w:val="22"/>
          <w:shd w:val="clear" w:color="auto" w:fill="FFFFFF"/>
        </w:rPr>
        <w:t>配套装备展示：</w:t>
      </w:r>
      <w:r>
        <w:rPr>
          <w:rFonts w:hint="eastAsia" w:ascii="微软雅黑" w:hAnsi="微软雅黑" w:eastAsia="微软雅黑" w:cs="微软雅黑"/>
          <w:color w:val="3E3E3E"/>
          <w:spacing w:val="27"/>
          <w:sz w:val="22"/>
          <w:szCs w:val="22"/>
          <w:shd w:val="clear" w:color="auto" w:fill="FFFFFF"/>
        </w:rPr>
        <w:t>各种汽摩电动车生产设备及成套系统、检测诊断系统及装备、改装设备、表面处理及涂装设备、维修检测诊断设备及工具、喷漆厂设备、轮胎翻新设备等。电动车充电桩、充电站等。</w:t>
      </w:r>
    </w:p>
    <w:p w14:paraId="6399E553">
      <w:pPr>
        <w:spacing w:line="0" w:lineRule="atLeast"/>
        <w:jc w:val="left"/>
        <w:rPr>
          <w:rFonts w:ascii="微软雅黑" w:hAnsi="微软雅黑" w:eastAsia="微软雅黑" w:cs="微软雅黑"/>
          <w:color w:val="FF0000"/>
          <w:spacing w:val="27"/>
          <w:sz w:val="22"/>
          <w:szCs w:val="22"/>
          <w:shd w:val="clear" w:color="auto" w:fill="FFFFFF"/>
        </w:rPr>
      </w:pPr>
    </w:p>
    <w:p w14:paraId="066EEA6B">
      <w:pPr>
        <w:spacing w:line="0" w:lineRule="atLeast"/>
        <w:jc w:val="lef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FF0000"/>
          <w:spacing w:val="27"/>
          <w:sz w:val="22"/>
          <w:szCs w:val="22"/>
          <w:shd w:val="clear" w:color="auto" w:fill="FFFFFF"/>
        </w:rPr>
        <w:t>汽摩用品展示：</w:t>
      </w:r>
      <w:r>
        <w:rPr>
          <w:rFonts w:hint="eastAsia" w:ascii="微软雅黑" w:hAnsi="微软雅黑" w:eastAsia="微软雅黑" w:cs="微软雅黑"/>
          <w:color w:val="3E3E3E"/>
          <w:spacing w:val="27"/>
          <w:sz w:val="22"/>
          <w:szCs w:val="22"/>
          <w:shd w:val="clear" w:color="auto" w:fill="FFFFFF"/>
        </w:rPr>
        <w:t>汽车内饰外饰、各种护垫、美容护理用品、洗车连锁、影音设备、安全防盗、电器、电子通讯、野外用品、改装部件、汽修汽保工具、环保产品等。</w:t>
      </w:r>
    </w:p>
    <w:p w14:paraId="22737AF0">
      <w:pPr>
        <w:spacing w:line="0" w:lineRule="atLeast"/>
        <w:jc w:val="left"/>
        <w:rPr>
          <w:rFonts w:ascii="微软雅黑" w:hAnsi="微软雅黑" w:eastAsia="微软雅黑" w:cs="微软雅黑"/>
          <w:color w:val="FF0000"/>
          <w:spacing w:val="27"/>
          <w:sz w:val="22"/>
          <w:szCs w:val="22"/>
          <w:shd w:val="clear" w:color="auto" w:fill="FFFFFF"/>
        </w:rPr>
      </w:pPr>
    </w:p>
    <w:p w14:paraId="37D819AE">
      <w:pPr>
        <w:spacing w:line="0" w:lineRule="atLeast"/>
        <w:jc w:val="left"/>
        <w:rPr>
          <w:rFonts w:ascii="微软雅黑" w:hAnsi="微软雅黑" w:eastAsia="微软雅黑" w:cs="微软雅黑"/>
          <w:color w:val="FF0000"/>
          <w:spacing w:val="27"/>
          <w:sz w:val="22"/>
          <w:szCs w:val="22"/>
          <w:shd w:val="clear" w:color="auto" w:fill="FFFFFF"/>
        </w:rPr>
      </w:pPr>
      <w:r>
        <w:rPr>
          <w:rFonts w:hint="eastAsia" w:ascii="微软雅黑" w:hAnsi="微软雅黑" w:eastAsia="微软雅黑" w:cs="微软雅黑"/>
          <w:color w:val="FF0000"/>
          <w:spacing w:val="27"/>
          <w:sz w:val="22"/>
          <w:szCs w:val="22"/>
          <w:shd w:val="clear" w:color="auto" w:fill="FFFFFF"/>
        </w:rPr>
        <w:t>交通配套产业：</w:t>
      </w:r>
      <w:r>
        <w:rPr>
          <w:rFonts w:hint="eastAsia" w:ascii="微软雅黑" w:hAnsi="微软雅黑" w:eastAsia="微软雅黑" w:cs="微软雅黑"/>
          <w:color w:val="3E3E3E"/>
          <w:spacing w:val="27"/>
          <w:sz w:val="22"/>
          <w:szCs w:val="22"/>
          <w:shd w:val="clear" w:color="auto" w:fill="FFFFFF"/>
        </w:rPr>
        <w:t>整车设计及信息化技术;生产制造专用材料(钢材、金属及合金材料、复合材料、涂料等);产业新能源、环保节能技术设备;停车场设备、加油站设备、充电设备、交通安全技术设备和路标材料等。</w:t>
      </w:r>
    </w:p>
    <w:p w14:paraId="2FEBF720">
      <w:pPr>
        <w:spacing w:line="0" w:lineRule="atLeast"/>
        <w:textAlignment w:val="baseline"/>
        <w:rPr>
          <w:rFonts w:ascii="微软雅黑 Light" w:hAnsi="微软雅黑 Light" w:eastAsia="微软雅黑 Light" w:cs="微软雅黑 Light"/>
          <w:b/>
          <w:bCs/>
          <w:color w:val="ED7D31" w:themeColor="accent2"/>
          <w:szCs w:val="21"/>
          <w14:textFill>
            <w14:solidFill>
              <w14:schemeClr w14:val="accent2"/>
            </w14:solidFill>
          </w14:textFill>
        </w:rPr>
      </w:pPr>
    </w:p>
    <w:p w14:paraId="6138D0EF">
      <w:pPr>
        <w:spacing w:line="0" w:lineRule="atLeast"/>
        <w:textAlignment w:val="baseline"/>
        <w:rPr>
          <w:rFonts w:ascii="微软雅黑 Light" w:hAnsi="微软雅黑 Light" w:eastAsia="微软雅黑 Light" w:cs="微软雅黑 Light"/>
          <w:b/>
          <w:bCs/>
          <w:color w:val="ED7D31" w:themeColor="accent2"/>
          <w:szCs w:val="21"/>
          <w14:textFill>
            <w14:solidFill>
              <w14:schemeClr w14:val="accent2"/>
            </w14:solidFill>
          </w14:textFill>
        </w:rPr>
      </w:pPr>
    </w:p>
    <w:p w14:paraId="445FA1DD">
      <w:pPr>
        <w:pBdr>
          <w:top w:val="single" w:color="auto" w:sz="4" w:space="1"/>
          <w:left w:val="none" w:color="auto" w:sz="0" w:space="4"/>
          <w:bottom w:val="none" w:color="auto" w:sz="0" w:space="1"/>
          <w:right w:val="none" w:color="auto" w:sz="0" w:space="4"/>
        </w:pBdr>
        <w:spacing w:line="0" w:lineRule="atLeast"/>
        <w:rPr>
          <w:rFonts w:ascii="微软雅黑" w:hAnsi="微软雅黑" w:eastAsia="微软雅黑" w:cs="微软雅黑"/>
          <w:b/>
          <w:bCs/>
          <w:spacing w:val="27"/>
          <w:sz w:val="22"/>
          <w:szCs w:val="22"/>
        </w:rPr>
      </w:pPr>
      <w:bookmarkStart w:id="0" w:name="_GoBack"/>
      <w:bookmarkEnd w:id="0"/>
      <w:r>
        <w:rPr>
          <w:rFonts w:hint="eastAsia" w:ascii="微软雅黑" w:hAnsi="微软雅黑" w:eastAsia="微软雅黑" w:cs="微软雅黑"/>
          <w:b/>
          <w:bCs/>
          <w:color w:val="3E3E3E"/>
          <w:spacing w:val="27"/>
          <w:sz w:val="22"/>
          <w:szCs w:val="22"/>
          <w:shd w:val="clear" w:color="auto" w:fill="FFFFFF"/>
        </w:rPr>
        <w:t>中国组展：</w:t>
      </w:r>
      <w:r>
        <w:rPr>
          <w:rFonts w:hint="eastAsia" w:ascii="微软雅黑" w:hAnsi="微软雅黑" w:eastAsia="微软雅黑" w:cs="微软雅黑"/>
          <w:b/>
          <w:bCs/>
          <w:spacing w:val="27"/>
          <w:sz w:val="22"/>
          <w:szCs w:val="22"/>
        </w:rPr>
        <w:t>广西博越展览有限公司</w:t>
      </w:r>
    </w:p>
    <w:p w14:paraId="5CF4AC13">
      <w:pPr>
        <w:spacing w:line="0" w:lineRule="atLeas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电话：0771-2615369</w:t>
      </w:r>
    </w:p>
    <w:p w14:paraId="03BFD0C0">
      <w:pPr>
        <w:spacing w:line="0" w:lineRule="atLeast"/>
        <w:rPr>
          <w:rFonts w:hint="default" w:ascii="微软雅黑" w:hAnsi="微软雅黑" w:eastAsia="微软雅黑" w:cs="微软雅黑"/>
          <w:b/>
          <w:bCs/>
          <w:spacing w:val="27"/>
          <w:sz w:val="22"/>
          <w:szCs w:val="22"/>
          <w:lang w:val="en-US" w:eastAsia="zh-CN"/>
        </w:rPr>
      </w:pPr>
      <w:r>
        <w:rPr>
          <w:rFonts w:hint="eastAsia" w:ascii="微软雅黑" w:hAnsi="微软雅黑" w:eastAsia="微软雅黑" w:cs="微软雅黑"/>
          <w:b/>
          <w:bCs/>
          <w:spacing w:val="27"/>
          <w:sz w:val="22"/>
          <w:szCs w:val="22"/>
        </w:rPr>
        <w:t>手机：</w:t>
      </w:r>
      <w:r>
        <w:rPr>
          <w:rFonts w:hint="eastAsia" w:ascii="微软雅黑" w:hAnsi="微软雅黑" w:eastAsia="微软雅黑" w:cs="微软雅黑"/>
          <w:b/>
          <w:bCs/>
          <w:spacing w:val="27"/>
          <w:sz w:val="22"/>
          <w:szCs w:val="22"/>
          <w:lang w:val="en-US" w:eastAsia="zh-CN"/>
        </w:rPr>
        <w:t>17376464570 覃经理</w:t>
      </w:r>
    </w:p>
    <w:p w14:paraId="67A1967D">
      <w:pPr>
        <w:spacing w:line="0" w:lineRule="atLeas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邮箱：</w:t>
      </w:r>
      <w:r>
        <w:rPr>
          <w:rFonts w:hint="eastAsia" w:ascii="微软雅黑" w:hAnsi="微软雅黑" w:eastAsia="微软雅黑" w:cs="微软雅黑"/>
          <w:b/>
          <w:bCs/>
          <w:spacing w:val="27"/>
          <w:sz w:val="22"/>
          <w:szCs w:val="22"/>
          <w:lang w:val="en-US" w:eastAsia="zh-CN"/>
        </w:rPr>
        <w:t>845725712@qq.com</w:t>
      </w:r>
      <w:r>
        <w:rPr>
          <w:rFonts w:hint="eastAsia" w:ascii="微软雅黑" w:hAnsi="微软雅黑" w:eastAsia="微软雅黑" w:cs="微软雅黑"/>
          <w:b/>
          <w:bCs/>
          <w:spacing w:val="27"/>
          <w:sz w:val="22"/>
          <w:szCs w:val="22"/>
        </w:rPr>
        <w:t xml:space="preserve"> </w:t>
      </w:r>
    </w:p>
    <w:p w14:paraId="302F4583">
      <w:pPr>
        <w:spacing w:line="0" w:lineRule="atLeast"/>
        <w:ind w:hanging="7"/>
        <w:jc w:val="lef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地址：广西南宁市青秀区东葛路165号绿地中央广场C2栋823-825室 </w:t>
      </w:r>
    </w:p>
    <w:sectPr>
      <w:pgSz w:w="11906" w:h="16838"/>
      <w:pgMar w:top="1440" w:right="1266" w:bottom="1440" w:left="1180" w:header="851" w:footer="992" w:gutter="0"/>
      <w:pgBorders w:offsetFrom="page">
        <w:top w:val="threeDEmboss" w:color="DBC9F0" w:sz="24" w:space="24"/>
        <w:left w:val="threeDEmboss" w:color="DBC9F0" w:sz="24" w:space="24"/>
        <w:bottom w:val="threeDEmboss" w:color="DBC9F0" w:sz="24" w:space="24"/>
        <w:right w:val="threeDEmboss" w:color="DBC9F0" w:sz="2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0MTNjYTA5MWE0OGM3YjhhNjRjYTA5OGY1MGUwNjIifQ=="/>
  </w:docVars>
  <w:rsids>
    <w:rsidRoot w:val="7C50390B"/>
    <w:rsid w:val="00001309"/>
    <w:rsid w:val="0000542C"/>
    <w:rsid w:val="00005784"/>
    <w:rsid w:val="0004089A"/>
    <w:rsid w:val="00040C56"/>
    <w:rsid w:val="000510FA"/>
    <w:rsid w:val="00060F03"/>
    <w:rsid w:val="00096DE7"/>
    <w:rsid w:val="000C2E0E"/>
    <w:rsid w:val="000C3102"/>
    <w:rsid w:val="000E6655"/>
    <w:rsid w:val="00106967"/>
    <w:rsid w:val="001071F5"/>
    <w:rsid w:val="001206A9"/>
    <w:rsid w:val="001307B4"/>
    <w:rsid w:val="00130E4A"/>
    <w:rsid w:val="00144F9B"/>
    <w:rsid w:val="00174128"/>
    <w:rsid w:val="00183C94"/>
    <w:rsid w:val="0018797D"/>
    <w:rsid w:val="001B10FD"/>
    <w:rsid w:val="00202653"/>
    <w:rsid w:val="00215D47"/>
    <w:rsid w:val="00217055"/>
    <w:rsid w:val="00220B8F"/>
    <w:rsid w:val="00241A92"/>
    <w:rsid w:val="002425BE"/>
    <w:rsid w:val="00243B69"/>
    <w:rsid w:val="00244661"/>
    <w:rsid w:val="00262094"/>
    <w:rsid w:val="00267B2D"/>
    <w:rsid w:val="00283024"/>
    <w:rsid w:val="002845F8"/>
    <w:rsid w:val="002B2091"/>
    <w:rsid w:val="002D48DA"/>
    <w:rsid w:val="002E001A"/>
    <w:rsid w:val="002E386A"/>
    <w:rsid w:val="002E674B"/>
    <w:rsid w:val="002E6A8C"/>
    <w:rsid w:val="002F7809"/>
    <w:rsid w:val="003038DD"/>
    <w:rsid w:val="0032054E"/>
    <w:rsid w:val="0033396A"/>
    <w:rsid w:val="00337EA7"/>
    <w:rsid w:val="00353889"/>
    <w:rsid w:val="003956E6"/>
    <w:rsid w:val="00396C9D"/>
    <w:rsid w:val="003B3B5F"/>
    <w:rsid w:val="003D5623"/>
    <w:rsid w:val="003E0399"/>
    <w:rsid w:val="003E4BA0"/>
    <w:rsid w:val="00442C69"/>
    <w:rsid w:val="00443BB3"/>
    <w:rsid w:val="004538BF"/>
    <w:rsid w:val="0045611F"/>
    <w:rsid w:val="00461EBA"/>
    <w:rsid w:val="00463127"/>
    <w:rsid w:val="004656A8"/>
    <w:rsid w:val="0046780D"/>
    <w:rsid w:val="00492079"/>
    <w:rsid w:val="00492831"/>
    <w:rsid w:val="004C0C1F"/>
    <w:rsid w:val="004E2E69"/>
    <w:rsid w:val="004E4E8C"/>
    <w:rsid w:val="004F6CDC"/>
    <w:rsid w:val="0050599C"/>
    <w:rsid w:val="00515A78"/>
    <w:rsid w:val="00523304"/>
    <w:rsid w:val="00532C42"/>
    <w:rsid w:val="00540466"/>
    <w:rsid w:val="00573D95"/>
    <w:rsid w:val="0058090A"/>
    <w:rsid w:val="00594699"/>
    <w:rsid w:val="005B36F0"/>
    <w:rsid w:val="005B5DF5"/>
    <w:rsid w:val="005D3BAB"/>
    <w:rsid w:val="005F0633"/>
    <w:rsid w:val="006020D2"/>
    <w:rsid w:val="00605FF6"/>
    <w:rsid w:val="00610BA3"/>
    <w:rsid w:val="0061111E"/>
    <w:rsid w:val="00613960"/>
    <w:rsid w:val="00617E8C"/>
    <w:rsid w:val="0062124E"/>
    <w:rsid w:val="00650661"/>
    <w:rsid w:val="00650822"/>
    <w:rsid w:val="00654D8B"/>
    <w:rsid w:val="00662ACE"/>
    <w:rsid w:val="0067098F"/>
    <w:rsid w:val="00676F98"/>
    <w:rsid w:val="00677E7D"/>
    <w:rsid w:val="00682776"/>
    <w:rsid w:val="00683A3F"/>
    <w:rsid w:val="006909BF"/>
    <w:rsid w:val="00690A62"/>
    <w:rsid w:val="006A70B5"/>
    <w:rsid w:val="006A77C1"/>
    <w:rsid w:val="006B03F2"/>
    <w:rsid w:val="006B550D"/>
    <w:rsid w:val="006D3C6A"/>
    <w:rsid w:val="006D5FD2"/>
    <w:rsid w:val="006D6CE7"/>
    <w:rsid w:val="006E6A42"/>
    <w:rsid w:val="006F2FD2"/>
    <w:rsid w:val="00712EE7"/>
    <w:rsid w:val="007141AD"/>
    <w:rsid w:val="00714AA3"/>
    <w:rsid w:val="007249F7"/>
    <w:rsid w:val="00725B77"/>
    <w:rsid w:val="007427B4"/>
    <w:rsid w:val="00744631"/>
    <w:rsid w:val="00744D33"/>
    <w:rsid w:val="0077323F"/>
    <w:rsid w:val="00774F77"/>
    <w:rsid w:val="0078535C"/>
    <w:rsid w:val="007A7826"/>
    <w:rsid w:val="007B38EE"/>
    <w:rsid w:val="0085550D"/>
    <w:rsid w:val="00855692"/>
    <w:rsid w:val="0086522A"/>
    <w:rsid w:val="008A148A"/>
    <w:rsid w:val="008A5A82"/>
    <w:rsid w:val="008A75FC"/>
    <w:rsid w:val="008C2DA8"/>
    <w:rsid w:val="008C5C4B"/>
    <w:rsid w:val="008C683D"/>
    <w:rsid w:val="008D35F3"/>
    <w:rsid w:val="008D7EBA"/>
    <w:rsid w:val="008E0C5E"/>
    <w:rsid w:val="00911138"/>
    <w:rsid w:val="009161E8"/>
    <w:rsid w:val="00922648"/>
    <w:rsid w:val="00941A78"/>
    <w:rsid w:val="00945E10"/>
    <w:rsid w:val="009567E7"/>
    <w:rsid w:val="00962C14"/>
    <w:rsid w:val="00997ADC"/>
    <w:rsid w:val="009E2B49"/>
    <w:rsid w:val="00A00470"/>
    <w:rsid w:val="00A01EDD"/>
    <w:rsid w:val="00A156BF"/>
    <w:rsid w:val="00A2079C"/>
    <w:rsid w:val="00A20A33"/>
    <w:rsid w:val="00A52A78"/>
    <w:rsid w:val="00A61025"/>
    <w:rsid w:val="00A72CEB"/>
    <w:rsid w:val="00A8481B"/>
    <w:rsid w:val="00A866F6"/>
    <w:rsid w:val="00AA79EE"/>
    <w:rsid w:val="00AB11D4"/>
    <w:rsid w:val="00AB2525"/>
    <w:rsid w:val="00AB7318"/>
    <w:rsid w:val="00AD076C"/>
    <w:rsid w:val="00AF36A8"/>
    <w:rsid w:val="00B0766A"/>
    <w:rsid w:val="00B15056"/>
    <w:rsid w:val="00B15FCE"/>
    <w:rsid w:val="00B33307"/>
    <w:rsid w:val="00B4139B"/>
    <w:rsid w:val="00B64573"/>
    <w:rsid w:val="00B70691"/>
    <w:rsid w:val="00B72BCB"/>
    <w:rsid w:val="00B76C88"/>
    <w:rsid w:val="00B905A2"/>
    <w:rsid w:val="00BA1B51"/>
    <w:rsid w:val="00BA3AE3"/>
    <w:rsid w:val="00BB3D4E"/>
    <w:rsid w:val="00BC3978"/>
    <w:rsid w:val="00BC439A"/>
    <w:rsid w:val="00BD592A"/>
    <w:rsid w:val="00BD5EE5"/>
    <w:rsid w:val="00BF4121"/>
    <w:rsid w:val="00C10C44"/>
    <w:rsid w:val="00C22365"/>
    <w:rsid w:val="00C3072C"/>
    <w:rsid w:val="00C40CF1"/>
    <w:rsid w:val="00C81CFC"/>
    <w:rsid w:val="00C86F5D"/>
    <w:rsid w:val="00CA2972"/>
    <w:rsid w:val="00CA5DD3"/>
    <w:rsid w:val="00CE5CF0"/>
    <w:rsid w:val="00CF1471"/>
    <w:rsid w:val="00D13A84"/>
    <w:rsid w:val="00D16EB5"/>
    <w:rsid w:val="00D238BC"/>
    <w:rsid w:val="00D500A6"/>
    <w:rsid w:val="00D5652A"/>
    <w:rsid w:val="00D63059"/>
    <w:rsid w:val="00D73C42"/>
    <w:rsid w:val="00D9312F"/>
    <w:rsid w:val="00DA1E85"/>
    <w:rsid w:val="00DB2C67"/>
    <w:rsid w:val="00DC73EC"/>
    <w:rsid w:val="00DD0101"/>
    <w:rsid w:val="00DF2CCB"/>
    <w:rsid w:val="00E05C88"/>
    <w:rsid w:val="00E06B80"/>
    <w:rsid w:val="00E17A61"/>
    <w:rsid w:val="00E21EAD"/>
    <w:rsid w:val="00E3595B"/>
    <w:rsid w:val="00E375F4"/>
    <w:rsid w:val="00E4009F"/>
    <w:rsid w:val="00E45055"/>
    <w:rsid w:val="00E4505F"/>
    <w:rsid w:val="00E6141B"/>
    <w:rsid w:val="00E865E8"/>
    <w:rsid w:val="00E94E42"/>
    <w:rsid w:val="00EA72FF"/>
    <w:rsid w:val="00EE0F5C"/>
    <w:rsid w:val="00EF2DF3"/>
    <w:rsid w:val="00F04148"/>
    <w:rsid w:val="00F342C8"/>
    <w:rsid w:val="00F422FA"/>
    <w:rsid w:val="00F44FCA"/>
    <w:rsid w:val="00F451F1"/>
    <w:rsid w:val="00F66B72"/>
    <w:rsid w:val="00F77AED"/>
    <w:rsid w:val="00F807D0"/>
    <w:rsid w:val="00F81C89"/>
    <w:rsid w:val="00F840C1"/>
    <w:rsid w:val="00F875BA"/>
    <w:rsid w:val="00FA29A4"/>
    <w:rsid w:val="00FB6815"/>
    <w:rsid w:val="00FD6D1C"/>
    <w:rsid w:val="00FF69A8"/>
    <w:rsid w:val="00FF7C3F"/>
    <w:rsid w:val="029746C7"/>
    <w:rsid w:val="043B3CA2"/>
    <w:rsid w:val="050E1662"/>
    <w:rsid w:val="062F5F98"/>
    <w:rsid w:val="07A4344E"/>
    <w:rsid w:val="09A3358F"/>
    <w:rsid w:val="0CFD0089"/>
    <w:rsid w:val="0DB45F7E"/>
    <w:rsid w:val="0E055255"/>
    <w:rsid w:val="0E945450"/>
    <w:rsid w:val="168B4A4A"/>
    <w:rsid w:val="1C184F0F"/>
    <w:rsid w:val="1C572D9B"/>
    <w:rsid w:val="1D2D121B"/>
    <w:rsid w:val="1FF10F93"/>
    <w:rsid w:val="24EE489A"/>
    <w:rsid w:val="25DE0665"/>
    <w:rsid w:val="26122A6F"/>
    <w:rsid w:val="2ABD1B5D"/>
    <w:rsid w:val="2CED3F07"/>
    <w:rsid w:val="306B5882"/>
    <w:rsid w:val="330D16C5"/>
    <w:rsid w:val="33402A02"/>
    <w:rsid w:val="35C91BC7"/>
    <w:rsid w:val="396F3FF2"/>
    <w:rsid w:val="3CAA2C1A"/>
    <w:rsid w:val="401D3D7B"/>
    <w:rsid w:val="40BB04CB"/>
    <w:rsid w:val="414B7746"/>
    <w:rsid w:val="436E373F"/>
    <w:rsid w:val="442C484D"/>
    <w:rsid w:val="4AEF0C8E"/>
    <w:rsid w:val="4CA31D9D"/>
    <w:rsid w:val="4DE935BA"/>
    <w:rsid w:val="5476255B"/>
    <w:rsid w:val="55183053"/>
    <w:rsid w:val="56D85714"/>
    <w:rsid w:val="58A61E60"/>
    <w:rsid w:val="5A1E5C4B"/>
    <w:rsid w:val="5C1A0E33"/>
    <w:rsid w:val="5E585C11"/>
    <w:rsid w:val="5E88635E"/>
    <w:rsid w:val="5FEE24A0"/>
    <w:rsid w:val="631547B7"/>
    <w:rsid w:val="633C0653"/>
    <w:rsid w:val="64CB4FF1"/>
    <w:rsid w:val="66551537"/>
    <w:rsid w:val="66751668"/>
    <w:rsid w:val="6B0D6415"/>
    <w:rsid w:val="6D282B1C"/>
    <w:rsid w:val="6E1D2B5A"/>
    <w:rsid w:val="710E5613"/>
    <w:rsid w:val="73F34582"/>
    <w:rsid w:val="76752A85"/>
    <w:rsid w:val="78D05F24"/>
    <w:rsid w:val="7ADE3251"/>
    <w:rsid w:val="7C50390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autoRedefine/>
    <w:qFormat/>
    <w:uiPriority w:val="0"/>
    <w:rPr>
      <w:b/>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1B255C-F2B6-A546-B36B-215DE43A2583}">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1172</Words>
  <Characters>1313</Characters>
  <Lines>12</Lines>
  <Paragraphs>3</Paragraphs>
  <TotalTime>28</TotalTime>
  <ScaleCrop>false</ScaleCrop>
  <LinksUpToDate>false</LinksUpToDate>
  <CharactersWithSpaces>1320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2022-11-10T03:33:00Z</dcterms:created>
  <dc:creator>爱昕s</dc:creator>
  <cp:lastModifiedBy>曲奇在此</cp:lastModifiedBy>
  <dcterms:modified xsi:type="dcterms:W3CDTF">2024-09-12T09:03:24Z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BC623EDD185B4AEEA9A9FC97A8B76DFF_13</vt:lpwstr>
  </property>
</Properties>
</file>