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018BB8">
      <w:pPr>
        <w:jc w:val="center"/>
        <w:rPr>
          <w:rFonts w:hint="eastAsia" w:ascii="宋体" w:hAnsi="宋体" w:eastAsia="宋体"/>
          <w:b/>
          <w:bCs/>
          <w:color w:val="F44837"/>
          <w:sz w:val="52"/>
          <w:szCs w:val="72"/>
          <w:lang w:eastAsia="zh-CN"/>
        </w:rPr>
      </w:pPr>
      <w:r>
        <w:rPr>
          <w:rFonts w:hint="eastAsia" w:ascii="宋体" w:hAnsi="宋体" w:eastAsia="宋体"/>
          <w:b/>
          <w:bCs/>
          <w:color w:val="F44837"/>
          <w:sz w:val="52"/>
          <w:szCs w:val="7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-729615</wp:posOffset>
            </wp:positionV>
            <wp:extent cx="7566660" cy="2795905"/>
            <wp:effectExtent l="0" t="0" r="15240" b="4445"/>
            <wp:wrapNone/>
            <wp:docPr id="1" name="图片 1" descr="c:/users/administrator/desktop/乳业小图11.1.jpg乳业小图1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乳业小图11.1.jpg乳业小图11.1"/>
                    <pic:cNvPicPr>
                      <a:picLocks noChangeAspect="1"/>
                    </pic:cNvPicPr>
                  </pic:nvPicPr>
                  <pic:blipFill>
                    <a:blip r:embed="rId4"/>
                    <a:srcRect l="4872" r="4872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53A07">
      <w:pPr>
        <w:jc w:val="center"/>
        <w:rPr>
          <w:rFonts w:hint="eastAsia" w:ascii="宋体" w:hAnsi="宋体" w:eastAsia="宋体"/>
          <w:b/>
          <w:bCs/>
          <w:color w:val="F44837"/>
          <w:sz w:val="52"/>
          <w:szCs w:val="72"/>
          <w:lang w:eastAsia="zh-CN"/>
        </w:rPr>
      </w:pPr>
    </w:p>
    <w:p w14:paraId="0C48B88F">
      <w:pPr>
        <w:jc w:val="center"/>
        <w:rPr>
          <w:rFonts w:hint="eastAsia" w:ascii="宋体" w:hAnsi="宋体" w:eastAsia="宋体"/>
          <w:b/>
          <w:bCs/>
          <w:color w:val="F44837"/>
          <w:sz w:val="52"/>
          <w:szCs w:val="72"/>
          <w:lang w:eastAsia="zh-CN"/>
        </w:rPr>
      </w:pPr>
    </w:p>
    <w:p w14:paraId="42CACEE5">
      <w:pPr>
        <w:jc w:val="center"/>
        <w:rPr>
          <w:rFonts w:hint="eastAsia" w:ascii="宋体" w:hAnsi="宋体"/>
          <w:b/>
          <w:bCs/>
          <w:color w:val="F44837"/>
          <w:sz w:val="52"/>
          <w:szCs w:val="72"/>
        </w:rPr>
      </w:pPr>
    </w:p>
    <w:p w14:paraId="12E7C5F2">
      <w:pPr>
        <w:jc w:val="center"/>
        <w:rPr>
          <w:rFonts w:hint="eastAsia" w:ascii="宋体" w:hAnsi="宋体"/>
          <w:b/>
          <w:bCs/>
          <w:color w:val="588E32" w:themeColor="accent4" w:themeShade="BF"/>
          <w:sz w:val="52"/>
          <w:szCs w:val="72"/>
        </w:rPr>
      </w:pPr>
      <w:r>
        <w:rPr>
          <w:rFonts w:hint="eastAsia" w:ascii="宋体" w:hAnsi="宋体"/>
          <w:b/>
          <w:bCs/>
          <w:color w:val="588E32" w:themeColor="accent4" w:themeShade="BF"/>
          <w:sz w:val="52"/>
          <w:szCs w:val="72"/>
        </w:rPr>
        <w:t>202</w:t>
      </w:r>
      <w:r>
        <w:rPr>
          <w:rFonts w:hint="eastAsia" w:ascii="宋体" w:hAnsi="宋体"/>
          <w:b/>
          <w:bCs/>
          <w:color w:val="588E32" w:themeColor="accent4" w:themeShade="BF"/>
          <w:sz w:val="52"/>
          <w:szCs w:val="72"/>
          <w:lang w:val="en-US" w:eastAsia="zh-CN"/>
        </w:rPr>
        <w:t>5</w:t>
      </w:r>
      <w:r>
        <w:rPr>
          <w:rFonts w:hint="eastAsia" w:ascii="宋体" w:hAnsi="宋体"/>
          <w:b/>
          <w:bCs/>
          <w:color w:val="588E32" w:themeColor="accent4" w:themeShade="BF"/>
          <w:sz w:val="52"/>
          <w:szCs w:val="72"/>
        </w:rPr>
        <w:t>第十</w:t>
      </w:r>
      <w:r>
        <w:rPr>
          <w:rFonts w:hint="eastAsia" w:ascii="宋体" w:hAnsi="宋体"/>
          <w:b/>
          <w:bCs/>
          <w:color w:val="588E32" w:themeColor="accent4" w:themeShade="BF"/>
          <w:sz w:val="52"/>
          <w:szCs w:val="72"/>
          <w:lang w:val="en-US" w:eastAsia="zh-CN"/>
        </w:rPr>
        <w:t>八</w:t>
      </w:r>
      <w:r>
        <w:rPr>
          <w:rFonts w:hint="eastAsia" w:ascii="宋体" w:hAnsi="宋体"/>
          <w:b/>
          <w:bCs/>
          <w:color w:val="588E32" w:themeColor="accent4" w:themeShade="BF"/>
          <w:sz w:val="52"/>
          <w:szCs w:val="72"/>
        </w:rPr>
        <w:t>届内蒙古乳业博览会</w:t>
      </w:r>
    </w:p>
    <w:p w14:paraId="47E2634B">
      <w:pPr>
        <w:jc w:val="center"/>
        <w:rPr>
          <w:rFonts w:ascii="宋体" w:hAnsi="宋体"/>
          <w:b/>
          <w:bCs/>
          <w:color w:val="588E32" w:themeColor="accent4" w:themeShade="BF"/>
          <w:sz w:val="52"/>
          <w:szCs w:val="72"/>
        </w:rPr>
      </w:pPr>
      <w:r>
        <w:rPr>
          <w:rFonts w:hint="eastAsia" w:ascii="宋体" w:hAnsi="宋体"/>
          <w:b/>
          <w:bCs/>
          <w:color w:val="588E32" w:themeColor="accent4" w:themeShade="BF"/>
          <w:sz w:val="52"/>
          <w:szCs w:val="72"/>
        </w:rPr>
        <w:t>暨高峰论坛</w:t>
      </w:r>
    </w:p>
    <w:p w14:paraId="7BD33B34">
      <w:pPr>
        <w:jc w:val="center"/>
        <w:rPr>
          <w:rFonts w:ascii="宋体" w:hAnsi="宋体"/>
          <w:b/>
          <w:color w:val="588E32" w:themeColor="accent4" w:themeShade="BF"/>
          <w:sz w:val="24"/>
        </w:rPr>
      </w:pPr>
      <w:r>
        <w:rPr>
          <w:rFonts w:hint="eastAsia" w:ascii="宋体" w:hAnsi="宋体"/>
          <w:b/>
          <w:bCs/>
          <w:color w:val="588E32" w:themeColor="accent4" w:themeShade="BF"/>
          <w:sz w:val="24"/>
        </w:rPr>
        <w:t>202</w:t>
      </w:r>
      <w:r>
        <w:rPr>
          <w:rFonts w:hint="eastAsia" w:ascii="宋体" w:hAnsi="宋体"/>
          <w:b/>
          <w:bCs/>
          <w:color w:val="588E32" w:themeColor="accent4" w:themeShade="BF"/>
          <w:sz w:val="24"/>
          <w:lang w:val="en-US" w:eastAsia="zh-CN"/>
        </w:rPr>
        <w:t>5</w:t>
      </w:r>
      <w:r>
        <w:rPr>
          <w:rFonts w:hint="eastAsia" w:ascii="宋体" w:hAnsi="宋体"/>
          <w:b/>
          <w:bCs/>
          <w:color w:val="588E32" w:themeColor="accent4" w:themeShade="BF"/>
          <w:sz w:val="24"/>
        </w:rPr>
        <w:t>The 1</w:t>
      </w:r>
      <w:r>
        <w:rPr>
          <w:rFonts w:hint="eastAsia" w:ascii="宋体" w:hAnsi="宋体"/>
          <w:b/>
          <w:bCs/>
          <w:color w:val="588E32" w:themeColor="accent4" w:themeShade="BF"/>
          <w:sz w:val="24"/>
          <w:lang w:val="en-US" w:eastAsia="zh-CN"/>
        </w:rPr>
        <w:t>8</w:t>
      </w:r>
      <w:r>
        <w:rPr>
          <w:rFonts w:hint="eastAsia" w:ascii="宋体" w:hAnsi="宋体"/>
          <w:b/>
          <w:bCs/>
          <w:color w:val="588E32" w:themeColor="accent4" w:themeShade="BF"/>
          <w:sz w:val="24"/>
        </w:rPr>
        <w:t>th China Inner Mongolia Dairy Expo and Summit Forum</w:t>
      </w:r>
    </w:p>
    <w:p w14:paraId="5EB54526">
      <w:pPr>
        <w:jc w:val="center"/>
        <w:rPr>
          <w:rFonts w:hint="eastAsia" w:ascii="宋体" w:hAnsi="宋体"/>
          <w:b/>
          <w:bCs/>
          <w:color w:val="588E32" w:themeColor="accent4" w:themeShade="BF"/>
          <w:sz w:val="24"/>
          <w:szCs w:val="32"/>
        </w:rPr>
      </w:pPr>
      <w:r>
        <w:rPr>
          <w:rFonts w:hint="eastAsia" w:ascii="宋体" w:hAnsi="宋体"/>
          <w:b/>
          <w:bCs/>
          <w:color w:val="588E32" w:themeColor="accent4" w:themeShade="BF"/>
          <w:sz w:val="24"/>
          <w:szCs w:val="32"/>
        </w:rPr>
        <w:t>时间：202</w:t>
      </w:r>
      <w:r>
        <w:rPr>
          <w:rFonts w:hint="eastAsia" w:ascii="宋体" w:hAnsi="宋体"/>
          <w:b/>
          <w:bCs/>
          <w:color w:val="588E32" w:themeColor="accent4" w:themeShade="BF"/>
          <w:sz w:val="24"/>
          <w:szCs w:val="32"/>
          <w:lang w:val="en-US" w:eastAsia="zh-CN"/>
        </w:rPr>
        <w:t>5</w:t>
      </w:r>
      <w:r>
        <w:rPr>
          <w:rFonts w:hint="eastAsia" w:ascii="宋体" w:hAnsi="宋体"/>
          <w:b/>
          <w:bCs/>
          <w:color w:val="588E32" w:themeColor="accent4" w:themeShade="BF"/>
          <w:sz w:val="24"/>
          <w:szCs w:val="32"/>
        </w:rPr>
        <w:t>年3月</w:t>
      </w:r>
      <w:r>
        <w:rPr>
          <w:rFonts w:hint="eastAsia" w:ascii="宋体" w:hAnsi="宋体"/>
          <w:b/>
          <w:bCs/>
          <w:color w:val="588E32" w:themeColor="accent4" w:themeShade="BF"/>
          <w:sz w:val="24"/>
          <w:szCs w:val="32"/>
          <w:lang w:val="en-US" w:eastAsia="zh-CN"/>
        </w:rPr>
        <w:t>22</w:t>
      </w:r>
      <w:r>
        <w:rPr>
          <w:rFonts w:hint="eastAsia" w:ascii="宋体" w:hAnsi="宋体"/>
          <w:b/>
          <w:bCs/>
          <w:color w:val="588E32" w:themeColor="accent4" w:themeShade="BF"/>
          <w:sz w:val="24"/>
          <w:szCs w:val="32"/>
        </w:rPr>
        <w:t>-</w:t>
      </w:r>
      <w:r>
        <w:rPr>
          <w:rFonts w:hint="eastAsia" w:ascii="宋体" w:hAnsi="宋体"/>
          <w:b/>
          <w:bCs/>
          <w:color w:val="588E32" w:themeColor="accent4" w:themeShade="BF"/>
          <w:sz w:val="24"/>
          <w:szCs w:val="32"/>
          <w:lang w:val="en-US" w:eastAsia="zh-CN"/>
        </w:rPr>
        <w:t>24</w:t>
      </w:r>
      <w:r>
        <w:rPr>
          <w:rFonts w:hint="eastAsia" w:ascii="宋体" w:hAnsi="宋体"/>
          <w:b/>
          <w:bCs/>
          <w:color w:val="588E32" w:themeColor="accent4" w:themeShade="BF"/>
          <w:sz w:val="24"/>
          <w:szCs w:val="32"/>
        </w:rPr>
        <w:t>日</w:t>
      </w:r>
      <w:r>
        <w:rPr>
          <w:rFonts w:hint="eastAsia" w:ascii="宋体" w:hAnsi="宋体"/>
          <w:b/>
          <w:bCs/>
          <w:color w:val="588E32" w:themeColor="accent4" w:themeShade="BF"/>
          <w:sz w:val="24"/>
          <w:szCs w:val="32"/>
          <w:lang w:val="en-US" w:eastAsia="zh-CN"/>
        </w:rPr>
        <w:t xml:space="preserve">          </w:t>
      </w:r>
      <w:r>
        <w:rPr>
          <w:rFonts w:hint="eastAsia" w:ascii="宋体" w:hAnsi="宋体"/>
          <w:b/>
          <w:bCs/>
          <w:color w:val="588E32" w:themeColor="accent4" w:themeShade="BF"/>
          <w:sz w:val="24"/>
          <w:szCs w:val="32"/>
        </w:rPr>
        <w:t xml:space="preserve"> 地点：呼和浩特·敕勒川国际会展中心</w:t>
      </w:r>
    </w:p>
    <w:p w14:paraId="7E5A453F">
      <w:pPr>
        <w:spacing w:line="480" w:lineRule="auto"/>
        <w:jc w:val="both"/>
        <w:rPr>
          <w:rFonts w:hint="default" w:ascii="宋体" w:hAnsi="宋体" w:eastAsia="宋体"/>
          <w:b/>
          <w:bCs/>
          <w:color w:val="FF0000"/>
          <w:sz w:val="24"/>
          <w:szCs w:val="32"/>
          <w:lang w:val="en-US" w:eastAsia="zh-CN"/>
        </w:rPr>
      </w:pPr>
    </w:p>
    <w:p w14:paraId="15535487">
      <w:pPr>
        <w:jc w:val="both"/>
        <w:rPr>
          <w:rFonts w:hint="default" w:ascii="宋体" w:hAnsi="宋体" w:eastAsia="宋体"/>
          <w:b/>
          <w:bCs/>
          <w:color w:val="F44837"/>
          <w:sz w:val="24"/>
          <w:szCs w:val="32"/>
          <w:lang w:val="en-US" w:eastAsia="zh-CN"/>
        </w:rPr>
      </w:pPr>
    </w:p>
    <w:p w14:paraId="2625A676">
      <w:pPr>
        <w:ind w:firstLine="560" w:firstLineChars="20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</w:rPr>
        <w:t>乳业是关乎国计民生的重要产业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36"/>
        </w:rPr>
        <w:t>近年来，整个行业的数智化水平不断提升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纷纷按下“</w:t>
      </w:r>
      <w:r>
        <w:rPr>
          <w:rFonts w:hint="eastAsia" w:ascii="仿宋" w:hAnsi="仿宋" w:eastAsia="仿宋" w:cs="仿宋"/>
          <w:sz w:val="28"/>
          <w:szCs w:val="36"/>
        </w:rPr>
        <w:t>快进键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”，</w:t>
      </w:r>
      <w:r>
        <w:rPr>
          <w:rFonts w:hint="eastAsia" w:ascii="仿宋" w:hAnsi="仿宋" w:eastAsia="仿宋" w:cs="仿宋"/>
          <w:sz w:val="28"/>
          <w:szCs w:val="36"/>
        </w:rPr>
        <w:t>内蒙古作为我国奶业振兴的“主战场”和确保乳品质量安全的“主阵地”奶牛存栏、牛奶产量、乳制品产量均居全国首位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36"/>
        </w:rPr>
        <w:t>目前，全区有年销售500万以上乳制品企业83家，加工能力1230万吨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截止</w:t>
      </w:r>
      <w:r>
        <w:rPr>
          <w:rFonts w:hint="eastAsia" w:ascii="仿宋" w:hAnsi="仿宋" w:eastAsia="仿宋" w:cs="仿宋"/>
          <w:sz w:val="28"/>
          <w:szCs w:val="36"/>
        </w:rPr>
        <w:t>2023年，自治区级以上龙头企业新增8家，达到38家，加工能力1140万吨，占全区总加工能力的91%。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 xml:space="preserve"> </w:t>
      </w:r>
    </w:p>
    <w:p w14:paraId="406595DA">
      <w:pPr>
        <w:ind w:firstLine="56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</w:rPr>
        <w:t>从独特资源到生产要素再到发展优势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推动下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第十八届内蒙古乳业博览会暨高峰论坛以“引领聚力·链动未来”为主题，稳抓</w:t>
      </w:r>
      <w:r>
        <w:rPr>
          <w:rFonts w:hint="eastAsia" w:ascii="仿宋" w:hAnsi="仿宋" w:eastAsia="仿宋" w:cs="仿宋"/>
          <w:sz w:val="28"/>
          <w:szCs w:val="36"/>
        </w:rPr>
        <w:t>创新链、围绕创新链布局产业链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延伸产业链、优化供应链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通过聚合全行业集成创新力量，共同探索“奶文章”，为产、学、研、用各方面搭建一个全产业协同发展的广阔平台。</w:t>
      </w:r>
    </w:p>
    <w:p w14:paraId="2A670B74">
      <w:pPr>
        <w:snapToGrid/>
        <w:spacing w:before="0" w:beforeAutospacing="0" w:after="0" w:afterAutospacing="0" w:line="240" w:lineRule="auto"/>
        <w:ind w:left="0" w:leftChars="0" w:firstLine="0" w:firstLineChars="0"/>
        <w:jc w:val="both"/>
        <w:rPr>
          <w:rStyle w:val="5"/>
          <w:rFonts w:hint="eastAsia" w:ascii="宋体" w:hAnsi="宋体" w:eastAsia="宋体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5"/>
          <w:rFonts w:hint="eastAsia" w:ascii="宋体" w:hAnsi="宋体" w:eastAsia="宋体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532380" cy="507365"/>
            <wp:effectExtent l="0" t="0" r="1270" b="6985"/>
            <wp:docPr id="3" name="图片 3" descr="b9346636522a378d97cb48e1c9ed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346636522a378d97cb48e1c9ed8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87AF">
      <w:pPr>
        <w:snapToGrid/>
        <w:spacing w:before="0" w:beforeAutospacing="0" w:after="0" w:afterAutospacing="0" w:line="240" w:lineRule="auto"/>
        <w:ind w:left="0" w:leftChars="0" w:firstLine="0" w:firstLineChars="0"/>
        <w:jc w:val="both"/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展会名称：</w:t>
      </w:r>
      <w:r>
        <w:rPr>
          <w:rStyle w:val="5"/>
          <w:rFonts w:hint="eastAsia" w:ascii="仿宋" w:hAnsi="仿宋" w:eastAsia="仿宋" w:cs="仿宋"/>
          <w:b w:val="0"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第18届中国内蒙古乳业博览会暨高峰论坛</w:t>
      </w:r>
    </w:p>
    <w:p w14:paraId="36D6B5AB">
      <w:pPr>
        <w:snapToGrid/>
        <w:spacing w:before="0" w:beforeAutospacing="0" w:after="0" w:afterAutospacing="0" w:line="240" w:lineRule="auto"/>
        <w:ind w:left="0" w:leftChars="0" w:firstLine="0" w:firstLineChars="0"/>
        <w:jc w:val="both"/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展会时间：2024年3月22日-24日（周六至周一）</w:t>
      </w:r>
    </w:p>
    <w:p w14:paraId="2EBA67FA">
      <w:pPr>
        <w:snapToGrid/>
        <w:spacing w:before="0" w:beforeAutospacing="0" w:after="0" w:afterAutospacing="0" w:line="240" w:lineRule="auto"/>
        <w:ind w:left="0" w:leftChars="0" w:firstLine="0" w:firstLineChars="0"/>
        <w:jc w:val="both"/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展会地点：呼和浩特敕勒川国际会展中心</w:t>
      </w:r>
      <w:r>
        <w:rPr>
          <w:rStyle w:val="5"/>
          <w:rFonts w:hint="eastAsia" w:ascii="仿宋" w:hAnsi="仿宋" w:eastAsia="仿宋" w:cs="仿宋"/>
          <w:b w:val="0"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（呼和浩特新城区保合少镇恼包村）</w:t>
      </w:r>
    </w:p>
    <w:p w14:paraId="13302960">
      <w:pPr>
        <w:snapToGrid/>
        <w:spacing w:before="0" w:beforeAutospacing="0" w:after="0" w:afterAutospacing="0" w:line="240" w:lineRule="auto"/>
        <w:ind w:left="0" w:leftChars="0" w:firstLine="0" w:firstLineChars="0"/>
        <w:jc w:val="both"/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会议届数：</w:t>
      </w:r>
      <w:r>
        <w:rPr>
          <w:rStyle w:val="5"/>
          <w:rFonts w:hint="eastAsia" w:ascii="仿宋" w:hAnsi="仿宋" w:eastAsia="仿宋" w:cs="仿宋"/>
          <w:b w:val="0"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第18届，每1年1届</w:t>
      </w:r>
    </w:p>
    <w:p w14:paraId="0D8B7740">
      <w:pPr>
        <w:snapToGrid/>
        <w:spacing w:before="0" w:beforeAutospacing="0" w:after="0" w:afterAutospacing="0" w:line="240" w:lineRule="auto"/>
        <w:ind w:left="0" w:leftChars="0" w:firstLine="0" w:firstLineChars="0"/>
        <w:jc w:val="both"/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展地面积：</w:t>
      </w:r>
      <w:r>
        <w:rPr>
          <w:rStyle w:val="5"/>
          <w:rFonts w:hint="eastAsia" w:ascii="仿宋" w:hAnsi="仿宋" w:eastAsia="仿宋" w:cs="仿宋"/>
          <w:b w:val="0"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预计20,000平方米</w:t>
      </w:r>
    </w:p>
    <w:p w14:paraId="4AFA9981">
      <w:pPr>
        <w:snapToGrid/>
        <w:spacing w:before="0" w:beforeAutospacing="0" w:after="0" w:afterAutospacing="0" w:line="240" w:lineRule="auto"/>
        <w:ind w:left="0" w:leftChars="0" w:firstLine="0" w:firstLineChars="0"/>
        <w:jc w:val="both"/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展商数量：</w:t>
      </w:r>
      <w:r>
        <w:rPr>
          <w:rStyle w:val="5"/>
          <w:rFonts w:hint="eastAsia" w:ascii="仿宋" w:hAnsi="仿宋" w:eastAsia="仿宋" w:cs="仿宋"/>
          <w:b w:val="0"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预计300家企业</w:t>
      </w:r>
    </w:p>
    <w:p w14:paraId="6588C1CD">
      <w:pPr>
        <w:snapToGrid/>
        <w:spacing w:before="0" w:beforeAutospacing="0" w:after="0" w:afterAutospacing="0" w:line="240" w:lineRule="auto"/>
        <w:ind w:left="0" w:leftChars="0" w:firstLine="0" w:firstLineChars="0"/>
        <w:jc w:val="both"/>
        <w:rPr>
          <w:rStyle w:val="5"/>
          <w:rFonts w:hint="eastAsia" w:ascii="仿宋" w:hAnsi="仿宋" w:eastAsia="仿宋" w:cs="仿宋"/>
          <w:b w:val="0"/>
          <w:i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观众数量：</w:t>
      </w:r>
      <w:r>
        <w:rPr>
          <w:rStyle w:val="5"/>
          <w:rFonts w:hint="eastAsia" w:ascii="仿宋" w:hAnsi="仿宋" w:eastAsia="仿宋" w:cs="仿宋"/>
          <w:b w:val="0"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预计30,000人次</w:t>
      </w:r>
    </w:p>
    <w:p w14:paraId="2936E353">
      <w:pPr>
        <w:snapToGrid/>
        <w:spacing w:before="0" w:beforeAutospacing="0" w:after="0" w:afterAutospacing="0" w:line="240" w:lineRule="auto"/>
        <w:ind w:left="0" w:leftChars="0"/>
        <w:jc w:val="both"/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主办单位：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内蒙古农牧业产业化龙头企业协会</w:t>
      </w:r>
    </w:p>
    <w:p w14:paraId="3860902D">
      <w:pPr>
        <w:snapToGrid/>
        <w:spacing w:before="0" w:beforeAutospacing="0" w:after="0" w:afterAutospacing="0" w:line="240" w:lineRule="auto"/>
        <w:ind w:firstLine="1200" w:firstLineChars="500"/>
        <w:jc w:val="both"/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 w:val="0"/>
          <w:bCs w:val="0"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内蒙古乳博会展服务有限公司</w:t>
      </w:r>
    </w:p>
    <w:p w14:paraId="2206929F">
      <w:pPr>
        <w:snapToGrid/>
        <w:spacing w:before="0" w:beforeAutospacing="0" w:after="0" w:afterAutospacing="0" w:line="240" w:lineRule="auto"/>
        <w:ind w:left="0" w:leftChars="0" w:firstLine="1200" w:firstLineChars="500"/>
        <w:jc w:val="both"/>
        <w:rPr>
          <w:rStyle w:val="5"/>
          <w:rFonts w:hint="eastAsia" w:ascii="仿宋" w:hAnsi="仿宋" w:eastAsia="仿宋" w:cs="仿宋"/>
          <w:b/>
          <w:bCs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 w:val="0"/>
          <w:bCs w:val="0"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艾克思博国际会展(内蒙古）集团有限公司</w:t>
      </w:r>
      <w:r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 </w:t>
      </w:r>
      <w:r>
        <w:rPr>
          <w:rStyle w:val="5"/>
          <w:rFonts w:hint="eastAsia" w:ascii="仿宋" w:hAnsi="仿宋" w:eastAsia="仿宋" w:cs="仿宋"/>
          <w:b w:val="0"/>
          <w:i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 </w:t>
      </w:r>
    </w:p>
    <w:p w14:paraId="453BBB7E">
      <w:pPr>
        <w:snapToGrid/>
        <w:spacing w:before="0" w:beforeAutospacing="0" w:after="0" w:afterAutospacing="0" w:line="240" w:lineRule="auto"/>
        <w:ind w:right="384"/>
        <w:jc w:val="both"/>
        <w:rPr>
          <w:rStyle w:val="5"/>
          <w:rFonts w:hint="eastAsia" w:ascii="仿宋" w:hAnsi="仿宋" w:eastAsia="仿宋" w:cs="仿宋"/>
          <w:b/>
          <w:bCs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展览地点：</w:t>
      </w:r>
      <w:r>
        <w:rPr>
          <w:rStyle w:val="5"/>
          <w:rFonts w:hint="eastAsia" w:ascii="仿宋" w:hAnsi="仿宋" w:eastAsia="仿宋" w:cs="仿宋"/>
          <w:b/>
          <w:bCs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呼和浩特敕勒川国际会展中心</w:t>
      </w:r>
      <w:r>
        <w:rPr>
          <w:rStyle w:val="5"/>
          <w:rFonts w:hint="eastAsia" w:ascii="仿宋" w:hAnsi="仿宋" w:eastAsia="仿宋" w:cs="仿宋"/>
          <w:b w:val="0"/>
          <w:bCs w:val="0"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●</w:t>
      </w:r>
      <w:r>
        <w:rPr>
          <w:rStyle w:val="5"/>
          <w:rFonts w:hint="eastAsia" w:ascii="仿宋" w:hAnsi="仿宋" w:eastAsia="仿宋" w:cs="仿宋"/>
          <w:b w:val="0"/>
          <w:i w:val="0"/>
          <w:spacing w:val="0"/>
          <w:w w:val="100"/>
          <w:kern w:val="2"/>
          <w:sz w:val="24"/>
          <w:szCs w:val="24"/>
          <w:lang w:val="en-US" w:eastAsia="zh-CN" w:bidi="ar-SA"/>
        </w:rPr>
        <w:t>呼和浩特新城区保合少镇恼包村</w:t>
      </w:r>
    </w:p>
    <w:p w14:paraId="6E131293">
      <w:pPr>
        <w:snapToGrid/>
        <w:spacing w:before="0" w:beforeAutospacing="0" w:after="0" w:afterAutospacing="0" w:line="240" w:lineRule="auto"/>
        <w:ind w:right="384"/>
        <w:jc w:val="both"/>
        <w:rPr>
          <w:rStyle w:val="5"/>
          <w:rFonts w:hint="eastAsia" w:ascii="仿宋" w:hAnsi="仿宋" w:eastAsia="仿宋" w:cs="仿宋"/>
          <w:b/>
          <w:bCs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报到布展：</w:t>
      </w:r>
      <w:r>
        <w:rPr>
          <w:rStyle w:val="5"/>
          <w:rFonts w:hint="eastAsia" w:ascii="仿宋" w:hAnsi="仿宋" w:eastAsia="仿宋" w:cs="仿宋"/>
          <w:b w:val="0"/>
          <w:bCs w:val="0"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2024年3月20—21日（09：00-17:00）</w:t>
      </w:r>
    </w:p>
    <w:p w14:paraId="6AC4CEC9">
      <w:pPr>
        <w:snapToGrid/>
        <w:spacing w:before="0" w:beforeAutospacing="0" w:after="0" w:afterAutospacing="0" w:line="240" w:lineRule="auto"/>
        <w:ind w:right="384"/>
        <w:jc w:val="both"/>
        <w:rPr>
          <w:rStyle w:val="5"/>
          <w:rFonts w:hint="eastAsia" w:ascii="仿宋" w:hAnsi="仿宋" w:eastAsia="仿宋" w:cs="仿宋"/>
          <w:b/>
          <w:i w:val="0"/>
          <w:color w:val="000000"/>
          <w:spacing w:val="0"/>
          <w:w w:val="100"/>
          <w:sz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展出时间：</w:t>
      </w:r>
      <w:r>
        <w:rPr>
          <w:rStyle w:val="5"/>
          <w:rFonts w:hint="eastAsia" w:ascii="仿宋" w:hAnsi="仿宋" w:eastAsia="仿宋" w:cs="仿宋"/>
          <w:b w:val="0"/>
          <w:bCs w:val="0"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2024年3月22—23日（09：00-17:00）</w:t>
      </w:r>
    </w:p>
    <w:p w14:paraId="6943D6A6">
      <w:pPr>
        <w:snapToGrid/>
        <w:spacing w:before="0" w:beforeAutospacing="0" w:after="0" w:afterAutospacing="0" w:line="240" w:lineRule="auto"/>
        <w:ind w:right="384"/>
        <w:jc w:val="both"/>
        <w:rPr>
          <w:rStyle w:val="5"/>
          <w:rFonts w:hint="eastAsia" w:ascii="仿宋" w:hAnsi="仿宋" w:eastAsia="仿宋" w:cs="仿宋"/>
          <w:b/>
          <w:bCs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 w:val="0"/>
          <w:bCs w:val="0"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 xml:space="preserve">          2024年3月24 日（09:00-12:00）</w:t>
      </w:r>
    </w:p>
    <w:p w14:paraId="37ADFF64">
      <w:pPr>
        <w:snapToGrid/>
        <w:spacing w:before="0" w:beforeAutospacing="0" w:after="0" w:afterAutospacing="0" w:line="240" w:lineRule="auto"/>
        <w:ind w:right="384"/>
        <w:jc w:val="both"/>
        <w:rPr>
          <w:rStyle w:val="5"/>
          <w:rFonts w:hint="eastAsia" w:ascii="仿宋" w:hAnsi="仿宋" w:eastAsia="仿宋" w:cs="仿宋"/>
          <w:b w:val="0"/>
          <w:bCs w:val="0"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撤展时间：</w:t>
      </w:r>
      <w:r>
        <w:rPr>
          <w:rStyle w:val="5"/>
          <w:rFonts w:hint="eastAsia" w:ascii="仿宋" w:hAnsi="仿宋" w:eastAsia="仿宋" w:cs="仿宋"/>
          <w:b w:val="0"/>
          <w:bCs w:val="0"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t>2024年3月24日（12:00-17:00）</w:t>
      </w:r>
    </w:p>
    <w:p w14:paraId="050E27C0">
      <w:pPr>
        <w:snapToGrid/>
        <w:spacing w:before="0" w:beforeAutospacing="0" w:after="0" w:afterAutospacing="0" w:line="240" w:lineRule="auto"/>
        <w:ind w:right="384"/>
        <w:jc w:val="both"/>
        <w:rPr>
          <w:rStyle w:val="5"/>
          <w:rFonts w:hint="eastAsia" w:ascii="仿宋" w:hAnsi="仿宋" w:eastAsia="仿宋" w:cs="仿宋"/>
          <w:b w:val="0"/>
          <w:bCs w:val="0"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</w:pPr>
    </w:p>
    <w:p w14:paraId="44B0B337">
      <w:pPr>
        <w:snapToGrid/>
        <w:spacing w:before="0" w:beforeAutospacing="0" w:after="0" w:afterAutospacing="0" w:line="240" w:lineRule="auto"/>
        <w:jc w:val="both"/>
        <w:rPr>
          <w:rStyle w:val="5"/>
          <w:rFonts w:hint="default" w:ascii="宋体" w:hAnsi="宋体" w:eastAsia="宋体"/>
          <w:b/>
          <w:bCs w:val="0"/>
          <w:i w:val="0"/>
          <w:color w:val="FF0000"/>
          <w:spacing w:val="0"/>
          <w:w w:val="100"/>
          <w:kern w:val="0"/>
          <w:sz w:val="28"/>
          <w:szCs w:val="28"/>
          <w:lang w:val="en-US" w:eastAsia="zh-CN" w:bidi="ar-SA"/>
        </w:rPr>
      </w:pPr>
      <w:r>
        <w:rPr>
          <w:rStyle w:val="5"/>
          <w:rFonts w:hint="eastAsia" w:ascii="仿宋" w:hAnsi="仿宋" w:eastAsia="仿宋" w:cs="仿宋"/>
          <w:b w:val="0"/>
          <w:bCs w:val="0"/>
          <w:i w:val="0"/>
          <w:color w:val="000000"/>
          <w:spacing w:val="0"/>
          <w:w w:val="100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288540" cy="458470"/>
            <wp:effectExtent l="0" t="0" r="16510" b="17780"/>
            <wp:docPr id="2" name="图片 2" descr="534221977aede84d437144536d62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4221977aede84d437144536d62f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9FEC">
      <w:pPr>
        <w:snapToGrid/>
        <w:spacing w:before="0" w:beforeAutospacing="0" w:after="0" w:afterAutospacing="0" w:line="240" w:lineRule="auto"/>
        <w:jc w:val="both"/>
        <w:rPr>
          <w:rStyle w:val="5"/>
          <w:rFonts w:hint="eastAsia" w:ascii="宋体" w:hAnsi="宋体" w:eastAsia="宋体"/>
          <w:b/>
          <w:bCs w:val="0"/>
          <w:i w:val="0"/>
          <w:color w:val="FF0000"/>
          <w:spacing w:val="0"/>
          <w:w w:val="10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“引领聚力·链动未来”</w:t>
      </w:r>
    </w:p>
    <w:p w14:paraId="469C7721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已成功举办的各届乳博会中，组委会通过积累丰富的行业客户资源，以及与各级奶业相关学会、协会、商会、行业媒体、行业平台等单位合作，专注于邀请参展商重点关注的专业买家到现场参观、交流、采购。近年以来，乳博会到场观众人次均保持在10000＋以上，包括</w:t>
      </w:r>
      <w:r>
        <w:rPr>
          <w:rFonts w:hint="eastAsia"/>
        </w:rPr>
        <w:t>各省（自治区、直辖市）及地方奶（乳）业协会</w:t>
      </w:r>
      <w:r>
        <w:rPr>
          <w:rFonts w:hint="eastAsia"/>
          <w:lang w:val="en-US" w:eastAsia="zh-CN"/>
        </w:rPr>
        <w:t>负责人，各乳制品加工企业高层及各事业部科研人员、管理人员、采购人员及周边</w:t>
      </w:r>
      <w:r>
        <w:rPr>
          <w:rFonts w:hint="default"/>
          <w:lang w:val="en-US" w:eastAsia="zh-CN"/>
        </w:rPr>
        <w:t>各省市</w:t>
      </w:r>
      <w:r>
        <w:rPr>
          <w:rFonts w:hint="eastAsia"/>
        </w:rPr>
        <w:t>牧场</w:t>
      </w:r>
      <w:r>
        <w:rPr>
          <w:rFonts w:hint="eastAsia"/>
          <w:lang w:val="en-US" w:eastAsia="zh-CN"/>
        </w:rPr>
        <w:t>等专业观众类别，其中，牧场和乳品企业的到场客户比列全部观众的70％以上。</w:t>
      </w:r>
    </w:p>
    <w:p w14:paraId="73284B0C">
      <w:pPr>
        <w:rPr>
          <w:rStyle w:val="5"/>
          <w:rFonts w:hint="default" w:ascii="宋体" w:hAnsi="宋体" w:eastAsia="宋体"/>
          <w:b/>
          <w:bCs w:val="0"/>
          <w:i w:val="0"/>
          <w:color w:val="FF0000"/>
          <w:spacing w:val="0"/>
          <w:w w:val="100"/>
          <w:kern w:val="0"/>
          <w:sz w:val="28"/>
          <w:szCs w:val="28"/>
          <w:lang w:val="en-US" w:eastAsia="zh-CN" w:bidi="ar-SA"/>
        </w:rPr>
      </w:pPr>
    </w:p>
    <w:p w14:paraId="5A6011B7">
      <w:pPr>
        <w:snapToGrid/>
        <w:spacing w:before="0" w:beforeAutospacing="0" w:after="0" w:afterAutospacing="0" w:line="240" w:lineRule="auto"/>
        <w:jc w:val="both"/>
        <w:rPr>
          <w:rStyle w:val="5"/>
          <w:rFonts w:hint="eastAsia" w:ascii="宋体" w:hAnsi="宋体" w:eastAsia="宋体"/>
          <w:b/>
          <w:bCs w:val="0"/>
          <w:i w:val="0"/>
          <w:color w:val="FF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4826000" cy="2743200"/>
            <wp:effectExtent l="4445" t="4445" r="8255" b="52705"/>
            <wp:docPr id="16" name="图表 15" descr="7b0a202020202263686172745265734964223a20223230343735393631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D69CDC6">
      <w:pPr>
        <w:snapToGrid w:val="0"/>
        <w:spacing w:before="0" w:beforeAutospacing="0" w:after="0" w:afterAutospacing="0" w:line="240" w:lineRule="auto"/>
        <w:ind w:right="384"/>
        <w:jc w:val="both"/>
        <w:rPr>
          <w:rStyle w:val="5"/>
          <w:rFonts w:hint="eastAsia" w:ascii="宋体" w:hAnsi="宋体" w:eastAsia="宋体"/>
          <w:b/>
          <w:bCs w:val="0"/>
          <w:i w:val="0"/>
          <w:color w:val="FF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5"/>
          <w:rFonts w:hint="eastAsia" w:ascii="宋体" w:hAnsi="宋体" w:eastAsia="宋体"/>
          <w:b/>
          <w:bCs w:val="0"/>
          <w:i w:val="0"/>
          <w:color w:val="FF0000"/>
          <w:spacing w:val="0"/>
          <w:w w:val="1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528570" cy="506730"/>
            <wp:effectExtent l="0" t="0" r="5080" b="7620"/>
            <wp:docPr id="14" name="图片 14" descr="733b05d32c54635d52398c2830a4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33b05d32c54635d52398c2830a4e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4CC0">
      <w:pPr>
        <w:snapToGrid w:val="0"/>
        <w:spacing w:before="0" w:beforeAutospacing="0" w:after="0" w:afterAutospacing="0" w:line="240" w:lineRule="auto"/>
        <w:ind w:right="384"/>
        <w:jc w:val="both"/>
        <w:rPr>
          <w:rFonts w:hint="eastAsia"/>
          <w:lang w:val="en-US" w:eastAsia="zh-CN"/>
        </w:rPr>
      </w:pPr>
      <w:r>
        <w:rPr>
          <w:rStyle w:val="5"/>
          <w:rFonts w:hint="eastAsia" w:ascii="宋体" w:hAnsi="宋体" w:eastAsia="宋体"/>
          <w:b/>
          <w:bCs w:val="0"/>
          <w:i w:val="0"/>
          <w:color w:val="FF0000"/>
          <w:spacing w:val="0"/>
          <w:w w:val="1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524500" cy="3082925"/>
            <wp:effectExtent l="0" t="0" r="0" b="3175"/>
            <wp:docPr id="11" name="图片 11" descr="61054dd34d99fdc9400f77c68c5c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1054dd34d99fdc9400f77c68c5cff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9A71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与100＋媒体建立深度合作，中央，省市级主流媒体，行业媒体长期进行展会宣传，扩大展会宣传广度，同时利用官网、公众号、微博、搜狐、头条、小红书、B站、社群等进行深度推广，强化展会的品牌影响力。</w:t>
      </w:r>
    </w:p>
    <w:p w14:paraId="024DB475">
      <w:pPr>
        <w:rPr>
          <w:rFonts w:hint="eastAsia"/>
          <w:sz w:val="24"/>
          <w:szCs w:val="32"/>
          <w:lang w:val="en-US" w:eastAsia="zh-CN"/>
        </w:rPr>
      </w:pPr>
    </w:p>
    <w:p w14:paraId="0DA26BFF">
      <w:pPr>
        <w:rPr>
          <w:rFonts w:hint="eastAsia"/>
          <w:sz w:val="24"/>
          <w:szCs w:val="32"/>
          <w:lang w:val="en-US" w:eastAsia="zh-CN"/>
        </w:rPr>
      </w:pPr>
    </w:p>
    <w:p w14:paraId="2CB76224">
      <w:pPr>
        <w:rPr>
          <w:rFonts w:hint="eastAsia"/>
          <w:sz w:val="24"/>
          <w:szCs w:val="32"/>
          <w:lang w:val="en-US" w:eastAsia="zh-CN"/>
        </w:rPr>
      </w:pPr>
    </w:p>
    <w:p w14:paraId="2EEF1BC8">
      <w:pPr>
        <w:rPr>
          <w:rFonts w:hint="eastAsia"/>
          <w:sz w:val="24"/>
          <w:szCs w:val="32"/>
          <w:lang w:val="en-US" w:eastAsia="zh-CN"/>
        </w:rPr>
      </w:pPr>
    </w:p>
    <w:p w14:paraId="53B9F7DE">
      <w:pPr>
        <w:rPr>
          <w:rFonts w:hint="eastAsia"/>
          <w:sz w:val="24"/>
          <w:szCs w:val="32"/>
          <w:lang w:val="en-US" w:eastAsia="zh-CN"/>
        </w:rPr>
      </w:pPr>
    </w:p>
    <w:p w14:paraId="5230555C">
      <w:pPr>
        <w:rPr>
          <w:rFonts w:hint="eastAsia"/>
          <w:sz w:val="24"/>
          <w:szCs w:val="32"/>
          <w:lang w:val="en-US" w:eastAsia="zh-CN"/>
        </w:rPr>
      </w:pPr>
    </w:p>
    <w:p w14:paraId="34F9944F">
      <w:pPr>
        <w:rPr>
          <w:rFonts w:hint="eastAsia"/>
          <w:sz w:val="24"/>
          <w:szCs w:val="32"/>
          <w:lang w:val="en-US" w:eastAsia="zh-CN"/>
        </w:rPr>
      </w:pPr>
    </w:p>
    <w:p w14:paraId="3CED49D7">
      <w:pPr>
        <w:rPr>
          <w:rFonts w:hint="eastAsia"/>
          <w:sz w:val="24"/>
          <w:szCs w:val="32"/>
          <w:lang w:val="en-US" w:eastAsia="zh-CN"/>
        </w:rPr>
      </w:pPr>
    </w:p>
    <w:p w14:paraId="21B612AF">
      <w:pPr>
        <w:rPr>
          <w:rFonts w:hint="eastAsia"/>
          <w:sz w:val="24"/>
          <w:szCs w:val="32"/>
          <w:lang w:val="en-US" w:eastAsia="zh-CN"/>
        </w:rPr>
      </w:pPr>
    </w:p>
    <w:p w14:paraId="4AADA601">
      <w:pPr>
        <w:rPr>
          <w:rFonts w:hint="eastAsia"/>
          <w:sz w:val="24"/>
          <w:szCs w:val="32"/>
          <w:lang w:val="en-US" w:eastAsia="zh-CN"/>
        </w:rPr>
      </w:pPr>
    </w:p>
    <w:p w14:paraId="204D20FF">
      <w:pPr>
        <w:rPr>
          <w:rStyle w:val="5"/>
          <w:rFonts w:hint="eastAsia" w:ascii="宋体" w:hAnsi="宋体" w:eastAsia="宋体"/>
          <w:b/>
          <w:bCs w:val="0"/>
          <w:i w:val="0"/>
          <w:color w:val="FF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130810</wp:posOffset>
            </wp:positionH>
            <wp:positionV relativeFrom="page">
              <wp:posOffset>4987925</wp:posOffset>
            </wp:positionV>
            <wp:extent cx="5319395" cy="1823720"/>
            <wp:effectExtent l="0" t="0" r="14605" b="5080"/>
            <wp:wrapNone/>
            <wp:docPr id="15" name="图片 15" descr="C:/Users/Administrator/Desktop/乳业邀请函数据小图.jpg乳业邀请函数据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乳业邀请函数据小图.jpg乳业邀请函数据小图"/>
                    <pic:cNvPicPr>
                      <a:picLocks noChangeAspect="1"/>
                    </pic:cNvPicPr>
                  </pic:nvPicPr>
                  <pic:blipFill>
                    <a:blip r:embed="rId1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hint="eastAsia" w:ascii="宋体" w:hAnsi="宋体" w:eastAsia="宋体"/>
          <w:b/>
          <w:bCs w:val="0"/>
          <w:i w:val="0"/>
          <w:color w:val="FF0000"/>
          <w:spacing w:val="0"/>
          <w:w w:val="1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383790" cy="477520"/>
            <wp:effectExtent l="0" t="0" r="16510" b="17780"/>
            <wp:docPr id="5" name="图片 5" descr="e10f98b30c58f7645eccc4629cf0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0f98b30c58f7645eccc4629cf0a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C8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157" w:beforeAutospacing="0" w:after="157" w:afterAutospacing="0" w:line="240" w:lineRule="auto"/>
        <w:ind w:right="210" w:rightChars="100"/>
        <w:jc w:val="both"/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◆</w:t>
      </w:r>
      <w:r>
        <w:rPr>
          <w:rFonts w:hint="eastAsia" w:ascii="宋体" w:hAnsi="宋体" w:eastAsia="宋体"/>
          <w:b/>
          <w:bCs/>
          <w:sz w:val="24"/>
          <w:szCs w:val="24"/>
        </w:rPr>
        <w:t>奶牛（羊）养殖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hint="eastAsia" w:ascii="仿宋" w:hAnsi="仿宋" w:eastAsia="仿宋" w:cs="仿宋"/>
          <w:sz w:val="24"/>
          <w:szCs w:val="24"/>
        </w:rPr>
        <w:t>冻精、胚胎、繁育技术与设备；动物营养、保健与兽药；挤奶设备与配件；鲜奶检测设备；喂饲系统；粪污处理系统；牧草、饲料、饲料添加剂；</w:t>
      </w:r>
    </w:p>
    <w:p w14:paraId="2475A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157" w:afterAutospacing="0" w:line="240" w:lineRule="auto"/>
        <w:ind w:right="165"/>
        <w:jc w:val="both"/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◆</w:t>
      </w:r>
      <w:r>
        <w:rPr>
          <w:rFonts w:hint="eastAsia" w:ascii="宋体" w:hAnsi="宋体" w:eastAsia="宋体"/>
          <w:b/>
          <w:bCs/>
          <w:sz w:val="24"/>
          <w:szCs w:val="24"/>
        </w:rPr>
        <w:t>装备机械：</w:t>
      </w:r>
      <w:r>
        <w:rPr>
          <w:rFonts w:hint="eastAsia" w:ascii="仿宋" w:hAnsi="仿宋" w:eastAsia="仿宋" w:cs="仿宋"/>
          <w:sz w:val="24"/>
          <w:szCs w:val="24"/>
        </w:rPr>
        <w:t>饲草（青贮）收割机、打捆机、破包机等机械设备；饲料粉碎机、搅拌机、预混机等饲料加工设备；TMR车、抛料车、撒料车及相关饲料输送设备；贮奶罐等专业设备；吸粪车、刮粪板等清洁设备；温控、环控等辅助装备机械等。</w:t>
      </w:r>
    </w:p>
    <w:p w14:paraId="6F1DF4DF">
      <w:pPr>
        <w:pStyle w:val="6"/>
        <w:keepNext w:val="0"/>
        <w:keepLines w:val="0"/>
        <w:pageBreakBefore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157" w:afterAutospacing="0" w:line="240" w:lineRule="auto"/>
        <w:ind w:right="0"/>
        <w:jc w:val="both"/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◆</w:t>
      </w:r>
      <w:r>
        <w:rPr>
          <w:rFonts w:hint="eastAsia" w:ascii="宋体" w:hAnsi="宋体" w:eastAsia="宋体"/>
          <w:b/>
          <w:bCs/>
          <w:sz w:val="24"/>
          <w:szCs w:val="24"/>
        </w:rPr>
        <w:t>牧场建设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hint="eastAsia" w:ascii="仿宋" w:hAnsi="仿宋" w:eastAsia="仿宋" w:cs="仿宋"/>
          <w:sz w:val="24"/>
          <w:szCs w:val="24"/>
        </w:rPr>
        <w:t>牧场设计、牧场建设、畜牧装备、牧场管理咨询；交钥匙工程、种养结合的生态牧场、清洁能源等新技术；生活区、生产区、饲料区、粪污处理区等场区配套系统设施、装备等。</w:t>
      </w:r>
    </w:p>
    <w:p w14:paraId="642A7C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157" w:afterAutospacing="0" w:line="240" w:lineRule="auto"/>
        <w:ind w:right="165"/>
        <w:jc w:val="both"/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◆</w:t>
      </w:r>
      <w:r>
        <w:rPr>
          <w:rFonts w:hint="eastAsia" w:ascii="宋体" w:hAnsi="宋体" w:eastAsia="宋体"/>
          <w:b/>
          <w:bCs/>
          <w:i w:val="0"/>
          <w:iCs w:val="0"/>
          <w:spacing w:val="8"/>
          <w:sz w:val="24"/>
          <w:szCs w:val="24"/>
          <w:shd w:val="clear" w:color="auto" w:fill="FFFFFF"/>
        </w:rPr>
        <w:t>包材设备：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  <w:t>纸张、纸板等包装材料；印油、打包带等包装耗材；无菌包装、冷藏包装等包装产品。</w:t>
      </w:r>
      <w:r>
        <w:rPr>
          <w:rStyle w:val="5"/>
          <w:rFonts w:hint="eastAsia" w:ascii="仿宋" w:hAnsi="仿宋" w:eastAsia="仿宋" w:cs="仿宋"/>
          <w:b w:val="0"/>
          <w:i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各种乳制品加工生产线；各种乳制品配料和添加剂。</w:t>
      </w:r>
    </w:p>
    <w:p w14:paraId="01CA9458">
      <w:pPr>
        <w:pStyle w:val="6"/>
        <w:keepNext w:val="0"/>
        <w:keepLines w:val="0"/>
        <w:pageBreakBefore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157" w:afterAutospacing="0" w:line="240" w:lineRule="auto"/>
        <w:ind w:right="0"/>
        <w:jc w:val="both"/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◆</w:t>
      </w:r>
      <w:r>
        <w:rPr>
          <w:rFonts w:hint="eastAsia" w:ascii="宋体" w:hAnsi="宋体" w:eastAsia="宋体"/>
          <w:b/>
          <w:bCs/>
          <w:i w:val="0"/>
          <w:iCs w:val="0"/>
          <w:spacing w:val="8"/>
          <w:sz w:val="24"/>
          <w:szCs w:val="24"/>
          <w:shd w:val="clear" w:color="auto" w:fill="FFFFFF"/>
        </w:rPr>
        <w:t>乳品加工</w:t>
      </w:r>
      <w:r>
        <w:rPr>
          <w:rFonts w:hint="eastAsia" w:ascii="宋体" w:hAnsi="宋体" w:eastAsia="宋体"/>
          <w:b/>
          <w:bCs/>
          <w:i w:val="0"/>
          <w:iCs w:val="0"/>
          <w:spacing w:val="8"/>
          <w:sz w:val="24"/>
          <w:szCs w:val="24"/>
          <w:shd w:val="clear" w:color="auto" w:fill="FFFFFF"/>
          <w:lang w:eastAsia="zh-CN"/>
        </w:rPr>
        <w:t>与包装技术设备</w:t>
      </w: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：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  <w:t>分离、均质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  <w:lang w:eastAsia="zh-CN"/>
        </w:rPr>
        <w:t>、发酵、混合、灭菌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  <w:t>等加工设备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  <w:lang w:eastAsia="zh-CN"/>
        </w:rPr>
        <w:t>与配件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  <w:t>；灌装机、分销设备等包装机械；再生纸、防伪标签等新技术产品。</w:t>
      </w:r>
    </w:p>
    <w:p w14:paraId="226B36A3">
      <w:pPr>
        <w:pStyle w:val="6"/>
        <w:keepNext w:val="0"/>
        <w:keepLines w:val="0"/>
        <w:pageBreakBefore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157" w:afterAutospacing="0" w:line="240" w:lineRule="auto"/>
        <w:ind w:right="0"/>
        <w:jc w:val="both"/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◆</w:t>
      </w:r>
      <w:r>
        <w:rPr>
          <w:rFonts w:hint="eastAsia" w:ascii="宋体" w:hAnsi="宋体" w:eastAsia="宋体"/>
          <w:b/>
          <w:bCs/>
          <w:i w:val="0"/>
          <w:iCs w:val="0"/>
          <w:spacing w:val="8"/>
          <w:sz w:val="24"/>
          <w:szCs w:val="24"/>
          <w:shd w:val="clear" w:color="auto" w:fill="FFFFFF"/>
        </w:rPr>
        <w:t>物流运输设备</w:t>
      </w: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：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  <w:t>制冷剂、温控器等制冷设备；运输车、奶罐车等运输设备；管件阀门、钢管泵业等流体设备；铲车、GPS跟踪器等相关附属设备等。</w:t>
      </w:r>
    </w:p>
    <w:p w14:paraId="3945F31E">
      <w:pPr>
        <w:pStyle w:val="6"/>
        <w:keepNext w:val="0"/>
        <w:keepLines w:val="0"/>
        <w:pageBreakBefore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157" w:afterAutospacing="0" w:line="240" w:lineRule="auto"/>
        <w:ind w:right="0"/>
        <w:jc w:val="both"/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◆</w:t>
      </w:r>
      <w:r>
        <w:rPr>
          <w:rFonts w:hint="eastAsia" w:ascii="宋体" w:hAnsi="宋体" w:eastAsia="宋体"/>
          <w:b/>
          <w:bCs/>
          <w:i w:val="0"/>
          <w:iCs w:val="0"/>
          <w:spacing w:val="8"/>
          <w:sz w:val="24"/>
          <w:szCs w:val="24"/>
          <w:shd w:val="clear" w:color="auto" w:fill="FFFFFF"/>
          <w:lang w:eastAsia="zh-CN"/>
        </w:rPr>
        <w:t>牛奶、羊奶、骆驼奶相关</w:t>
      </w:r>
      <w:r>
        <w:rPr>
          <w:rFonts w:hint="eastAsia" w:ascii="宋体" w:hAnsi="宋体" w:eastAsia="宋体"/>
          <w:b/>
          <w:bCs/>
          <w:i w:val="0"/>
          <w:iCs w:val="0"/>
          <w:spacing w:val="8"/>
          <w:sz w:val="24"/>
          <w:szCs w:val="24"/>
          <w:shd w:val="clear" w:color="auto" w:fill="FFFFFF"/>
        </w:rPr>
        <w:t>乳制品</w:t>
      </w: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：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  <w:t>国内外各种液态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  <w:lang w:eastAsia="zh-CN"/>
        </w:rPr>
        <w:t>奶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  <w:t>；乳粉；炼乳；乳脂肪；干酪；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  <w:lang w:eastAsia="zh-CN"/>
        </w:rPr>
        <w:t>黄油；</w:t>
      </w:r>
      <w:r>
        <w:rPr>
          <w:rFonts w:hint="eastAsia" w:ascii="仿宋" w:hAnsi="仿宋" w:eastAsia="仿宋" w:cs="仿宋"/>
          <w:i w:val="0"/>
          <w:iCs w:val="0"/>
          <w:spacing w:val="8"/>
          <w:sz w:val="24"/>
          <w:szCs w:val="24"/>
          <w:shd w:val="clear" w:color="auto" w:fill="FFFFFF"/>
        </w:rPr>
        <w:t>乳冰淇淋；干酪素、乳糖、乳清粉、乳清蛋白、乳饮料、乳饮品等其他乳品。</w:t>
      </w:r>
      <w:r>
        <w:rPr>
          <w:rStyle w:val="5"/>
          <w:rFonts w:hint="eastAsia" w:ascii="仿宋" w:hAnsi="仿宋" w:eastAsia="仿宋" w:cs="仿宋"/>
          <w:b w:val="0"/>
          <w:i w:val="0"/>
          <w:color w:val="000000"/>
          <w:spacing w:val="0"/>
          <w:w w:val="100"/>
          <w:kern w:val="2"/>
          <w:sz w:val="24"/>
          <w:szCs w:val="24"/>
          <w:lang w:val="en-US" w:eastAsia="zh-CN" w:bidi="ar-SA"/>
        </w:rPr>
        <w:t>各种乳营养保健品；各种乳制品配料和添加剂等。</w:t>
      </w:r>
    </w:p>
    <w:p w14:paraId="320C1B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157" w:afterAutospacing="0" w:line="240" w:lineRule="auto"/>
        <w:ind w:right="384"/>
        <w:jc w:val="both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◆</w:t>
      </w:r>
      <w:r>
        <w:rPr>
          <w:rFonts w:hint="eastAsia" w:ascii="宋体" w:hAnsi="宋体" w:eastAsia="宋体"/>
          <w:b/>
          <w:bCs/>
          <w:i w:val="0"/>
          <w:iCs w:val="0"/>
          <w:spacing w:val="8"/>
          <w:sz w:val="24"/>
          <w:szCs w:val="24"/>
          <w:shd w:val="clear" w:color="auto" w:fill="FFFFFF"/>
        </w:rPr>
        <w:t>其他综合服务</w:t>
      </w:r>
      <w:r>
        <w:rPr>
          <w:rFonts w:hint="eastAsia" w:ascii="宋体" w:hAnsi="宋体" w:eastAsia="宋体"/>
          <w:i w:val="0"/>
          <w:iCs w:val="0"/>
          <w:spacing w:val="8"/>
          <w:sz w:val="24"/>
          <w:szCs w:val="24"/>
          <w:shd w:val="clear" w:color="auto" w:fill="FFFFFF"/>
        </w:rPr>
        <w:t>：</w:t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媒体、咨询培训、金融贷款、风险投资、保险贸易、认证机构、品牌营销等相关服务；软件开发、硬件支持、科技应用、项目合作等新型服务等。</w:t>
      </w:r>
    </w:p>
    <w:tbl>
      <w:tblPr>
        <w:tblStyle w:val="3"/>
        <w:tblpPr w:leftFromText="180" w:rightFromText="180" w:vertAnchor="text" w:horzAnchor="page" w:tblpX="1367" w:tblpY="1086"/>
        <w:tblOverlap w:val="never"/>
        <w:tblW w:w="9315" w:type="dxa"/>
        <w:tblInd w:w="0" w:type="dxa"/>
        <w:tblBorders>
          <w:top w:val="single" w:color="578D31" w:themeColor="accent4" w:themeShade="BF" w:sz="12" w:space="0"/>
          <w:left w:val="single" w:color="578D31" w:themeColor="accent4" w:themeShade="BF" w:sz="12" w:space="0"/>
          <w:bottom w:val="single" w:color="578D31" w:themeColor="accent4" w:themeShade="BF" w:sz="12" w:space="0"/>
          <w:right w:val="single" w:color="578D31" w:themeColor="accent4" w:themeShade="BF" w:sz="12" w:space="0"/>
          <w:insideH w:val="single" w:color="578D31" w:themeColor="accent4" w:themeShade="BF" w:sz="12" w:space="0"/>
          <w:insideV w:val="single" w:color="578D31" w:themeColor="accent4" w:themeShade="B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0"/>
        <w:gridCol w:w="1905"/>
        <w:gridCol w:w="760"/>
        <w:gridCol w:w="1025"/>
        <w:gridCol w:w="1640"/>
        <w:gridCol w:w="250"/>
        <w:gridCol w:w="2415"/>
      </w:tblGrid>
      <w:tr w14:paraId="37E1FED6">
        <w:tblPrEx>
          <w:tblBorders>
            <w:top w:val="single" w:color="578D31" w:themeColor="accent4" w:themeShade="BF" w:sz="12" w:space="0"/>
            <w:left w:val="single" w:color="578D31" w:themeColor="accent4" w:themeShade="BF" w:sz="12" w:space="0"/>
            <w:bottom w:val="single" w:color="578D31" w:themeColor="accent4" w:themeShade="BF" w:sz="12" w:space="0"/>
            <w:right w:val="single" w:color="578D31" w:themeColor="accent4" w:themeShade="BF" w:sz="12" w:space="0"/>
            <w:insideH w:val="single" w:color="578D31" w:themeColor="accent4" w:themeShade="BF" w:sz="12" w:space="0"/>
            <w:insideV w:val="single" w:color="578D31" w:themeColor="accent4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9315" w:type="dxa"/>
            <w:gridSpan w:val="7"/>
            <w:tcBorders>
              <w:tl2br w:val="nil"/>
              <w:tr2bl w:val="nil"/>
            </w:tcBorders>
            <w:shd w:val="clear" w:color="auto" w:fill="E3F2D9" w:themeFill="accent4" w:themeFillTint="32"/>
            <w:vAlign w:val="top"/>
          </w:tcPr>
          <w:p w14:paraId="0DB679D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lang w:val="en-US" w:eastAsia="zh-CN"/>
              </w:rPr>
              <w:t xml:space="preserve">展 位 收 费 标 准 / </w:t>
            </w:r>
            <w:r>
              <w:rPr>
                <w:rFonts w:hint="eastAsia"/>
                <w:b/>
                <w:bCs/>
                <w:color w:val="FF0000"/>
                <w:sz w:val="28"/>
                <w:szCs w:val="36"/>
                <w:lang w:val="en-US" w:eastAsia="zh-CN"/>
              </w:rPr>
              <w:t>前100家参展企业享受50%补贴</w:t>
            </w:r>
          </w:p>
        </w:tc>
      </w:tr>
      <w:tr w14:paraId="6AAE801E">
        <w:tblPrEx>
          <w:tblBorders>
            <w:top w:val="single" w:color="578D31" w:themeColor="accent4" w:themeShade="BF" w:sz="12" w:space="0"/>
            <w:left w:val="single" w:color="578D31" w:themeColor="accent4" w:themeShade="BF" w:sz="12" w:space="0"/>
            <w:bottom w:val="single" w:color="578D31" w:themeColor="accent4" w:themeShade="BF" w:sz="12" w:space="0"/>
            <w:right w:val="single" w:color="578D31" w:themeColor="accent4" w:themeShade="BF" w:sz="12" w:space="0"/>
            <w:insideH w:val="single" w:color="578D31" w:themeColor="accent4" w:themeShade="BF" w:sz="12" w:space="0"/>
            <w:insideV w:val="single" w:color="578D31" w:themeColor="accent4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320" w:type="dxa"/>
            <w:tcBorders>
              <w:tl2br w:val="nil"/>
              <w:tr2bl w:val="nil"/>
            </w:tcBorders>
            <w:vAlign w:val="top"/>
          </w:tcPr>
          <w:p w14:paraId="316E360A">
            <w:pPr>
              <w:jc w:val="distribute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展位</w:t>
            </w:r>
          </w:p>
        </w:tc>
        <w:tc>
          <w:tcPr>
            <w:tcW w:w="2665" w:type="dxa"/>
            <w:gridSpan w:val="2"/>
            <w:tcBorders>
              <w:tl2br w:val="nil"/>
              <w:tr2bl w:val="nil"/>
            </w:tcBorders>
            <w:shd w:val="clear" w:color="auto" w:fill="auto"/>
            <w:vAlign w:val="top"/>
          </w:tcPr>
          <w:p w14:paraId="34B11F95">
            <w:pPr>
              <w:snapToGrid/>
              <w:spacing w:before="0" w:beforeAutospacing="0" w:after="0" w:afterAutospacing="0" w:line="240" w:lineRule="auto"/>
              <w:ind w:right="384" w:rightChars="0"/>
              <w:jc w:val="center"/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标准展位/单开口</w:t>
            </w:r>
          </w:p>
        </w:tc>
        <w:tc>
          <w:tcPr>
            <w:tcW w:w="2665" w:type="dxa"/>
            <w:gridSpan w:val="2"/>
            <w:tcBorders>
              <w:tl2br w:val="nil"/>
              <w:tr2bl w:val="nil"/>
            </w:tcBorders>
            <w:shd w:val="clear" w:color="auto" w:fill="auto"/>
            <w:vAlign w:val="top"/>
          </w:tcPr>
          <w:p w14:paraId="309A8E4F">
            <w:pPr>
              <w:snapToGrid/>
              <w:spacing w:before="0" w:beforeAutospacing="0" w:after="0" w:afterAutospacing="0" w:line="240" w:lineRule="auto"/>
              <w:ind w:right="384" w:rightChars="0"/>
              <w:jc w:val="center"/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标准展位/双开口</w:t>
            </w:r>
          </w:p>
        </w:tc>
        <w:tc>
          <w:tcPr>
            <w:tcW w:w="2665" w:type="dxa"/>
            <w:gridSpan w:val="2"/>
            <w:tcBorders>
              <w:tl2br w:val="nil"/>
              <w:tr2bl w:val="nil"/>
            </w:tcBorders>
            <w:shd w:val="clear" w:color="auto" w:fill="auto"/>
            <w:vAlign w:val="top"/>
          </w:tcPr>
          <w:p w14:paraId="19B337B0">
            <w:pPr>
              <w:snapToGrid/>
              <w:spacing w:before="0" w:beforeAutospacing="0" w:after="0" w:afterAutospacing="0" w:line="240" w:lineRule="auto"/>
              <w:ind w:right="384" w:rightChars="0"/>
              <w:jc w:val="center"/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光地展位（36m2起租）</w:t>
            </w:r>
          </w:p>
        </w:tc>
      </w:tr>
      <w:tr w14:paraId="6EBA945E">
        <w:tblPrEx>
          <w:tblBorders>
            <w:top w:val="single" w:color="578D31" w:themeColor="accent4" w:themeShade="BF" w:sz="12" w:space="0"/>
            <w:left w:val="single" w:color="578D31" w:themeColor="accent4" w:themeShade="BF" w:sz="12" w:space="0"/>
            <w:bottom w:val="single" w:color="578D31" w:themeColor="accent4" w:themeShade="BF" w:sz="12" w:space="0"/>
            <w:right w:val="single" w:color="578D31" w:themeColor="accent4" w:themeShade="BF" w:sz="12" w:space="0"/>
            <w:insideH w:val="single" w:color="578D31" w:themeColor="accent4" w:themeShade="BF" w:sz="12" w:space="0"/>
            <w:insideV w:val="single" w:color="578D31" w:themeColor="accent4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320" w:type="dxa"/>
            <w:vMerge w:val="restart"/>
            <w:tcBorders>
              <w:tl2br w:val="nil"/>
              <w:tr2bl w:val="nil"/>
            </w:tcBorders>
            <w:vAlign w:val="top"/>
          </w:tcPr>
          <w:p w14:paraId="167B8338">
            <w:pPr>
              <w:jc w:val="distribut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价格</w:t>
            </w:r>
          </w:p>
        </w:tc>
        <w:tc>
          <w:tcPr>
            <w:tcW w:w="2665" w:type="dxa"/>
            <w:gridSpan w:val="2"/>
            <w:tcBorders>
              <w:tl2br w:val="nil"/>
              <w:tr2bl w:val="nil"/>
            </w:tcBorders>
            <w:shd w:val="clear" w:color="auto" w:fill="auto"/>
            <w:vAlign w:val="top"/>
          </w:tcPr>
          <w:p w14:paraId="4F2F27E0">
            <w:pPr>
              <w:snapToGrid/>
              <w:spacing w:before="0" w:beforeAutospacing="0" w:after="0" w:afterAutospacing="0" w:line="240" w:lineRule="auto"/>
              <w:ind w:right="384" w:rightChars="0"/>
              <w:jc w:val="center"/>
              <w:rPr>
                <w:rFonts w:hint="eastAsia" w:ascii="宋体" w:hAnsi="宋体" w:eastAsia="宋体" w:cs="Times New Roman"/>
                <w:b/>
                <w:bCs w:val="0"/>
                <w:i w:val="0"/>
                <w:color w:val="FF0000"/>
                <w:spacing w:val="0"/>
                <w:w w:val="10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0"/>
                <w:szCs w:val="22"/>
                <w:lang w:val="en-US" w:eastAsia="zh-CN"/>
              </w:rPr>
              <w:t>原价5900元/9平方</w:t>
            </w:r>
          </w:p>
        </w:tc>
        <w:tc>
          <w:tcPr>
            <w:tcW w:w="2665" w:type="dxa"/>
            <w:gridSpan w:val="2"/>
            <w:tcBorders>
              <w:tl2br w:val="nil"/>
              <w:tr2bl w:val="nil"/>
            </w:tcBorders>
            <w:shd w:val="clear" w:color="auto" w:fill="auto"/>
            <w:vAlign w:val="top"/>
          </w:tcPr>
          <w:p w14:paraId="28ADB48E">
            <w:pPr>
              <w:rPr>
                <w:rFonts w:hint="eastAsia" w:ascii="Calibri" w:hAnsi="Calibri" w:eastAsia="宋体" w:cs="Times New Roman"/>
                <w:color w:val="FF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原价6900元/9平方</w:t>
            </w:r>
          </w:p>
        </w:tc>
        <w:tc>
          <w:tcPr>
            <w:tcW w:w="2665" w:type="dxa"/>
            <w:gridSpan w:val="2"/>
            <w:tcBorders>
              <w:tl2br w:val="nil"/>
              <w:tr2bl w:val="nil"/>
            </w:tcBorders>
            <w:shd w:val="clear" w:color="auto" w:fill="auto"/>
            <w:vAlign w:val="top"/>
          </w:tcPr>
          <w:p w14:paraId="172C4FB2">
            <w:pPr>
              <w:rPr>
                <w:rFonts w:hint="eastAsia" w:ascii="Calibri" w:hAnsi="Calibri" w:eastAsia="宋体" w:cs="Times New Roman"/>
                <w:color w:val="FF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原价450元/每平方</w:t>
            </w:r>
          </w:p>
        </w:tc>
      </w:tr>
      <w:tr w14:paraId="21F6EA56">
        <w:tblPrEx>
          <w:tblBorders>
            <w:top w:val="single" w:color="578D31" w:themeColor="accent4" w:themeShade="BF" w:sz="12" w:space="0"/>
            <w:left w:val="single" w:color="578D31" w:themeColor="accent4" w:themeShade="BF" w:sz="12" w:space="0"/>
            <w:bottom w:val="single" w:color="578D31" w:themeColor="accent4" w:themeShade="BF" w:sz="12" w:space="0"/>
            <w:right w:val="single" w:color="578D31" w:themeColor="accent4" w:themeShade="BF" w:sz="12" w:space="0"/>
            <w:insideH w:val="single" w:color="578D31" w:themeColor="accent4" w:themeShade="BF" w:sz="12" w:space="0"/>
            <w:insideV w:val="single" w:color="578D31" w:themeColor="accent4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320" w:type="dxa"/>
            <w:vMerge w:val="continue"/>
            <w:tcBorders>
              <w:tl2br w:val="nil"/>
              <w:tr2bl w:val="nil"/>
            </w:tcBorders>
            <w:vAlign w:val="top"/>
          </w:tcPr>
          <w:p w14:paraId="0BA6F552">
            <w:pPr>
              <w:snapToGrid/>
              <w:spacing w:before="0" w:beforeAutospacing="0" w:after="0" w:afterAutospacing="0" w:line="240" w:lineRule="auto"/>
              <w:ind w:right="384"/>
              <w:jc w:val="both"/>
            </w:pPr>
          </w:p>
        </w:tc>
        <w:tc>
          <w:tcPr>
            <w:tcW w:w="2665" w:type="dxa"/>
            <w:gridSpan w:val="2"/>
            <w:tcBorders>
              <w:tl2br w:val="nil"/>
              <w:tr2bl w:val="nil"/>
            </w:tcBorders>
            <w:shd w:val="clear" w:color="auto" w:fill="auto"/>
            <w:vAlign w:val="top"/>
          </w:tcPr>
          <w:p w14:paraId="1A727143">
            <w:pPr>
              <w:snapToGrid/>
              <w:spacing w:before="0" w:beforeAutospacing="0" w:after="0" w:afterAutospacing="0" w:line="240" w:lineRule="auto"/>
              <w:ind w:right="384" w:rightChars="0"/>
              <w:jc w:val="center"/>
              <w:rPr>
                <w:rFonts w:hint="eastAsia" w:ascii="Calibri" w:hAnsi="Calibri" w:eastAsia="宋体" w:cs="Times New Roman"/>
                <w:color w:val="FF0000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FF0000"/>
                <w:sz w:val="20"/>
                <w:szCs w:val="22"/>
                <w:lang w:val="en-US" w:eastAsia="zh-CN"/>
              </w:rPr>
              <w:t>补贴后2950元/9平方</w:t>
            </w:r>
          </w:p>
        </w:tc>
        <w:tc>
          <w:tcPr>
            <w:tcW w:w="2665" w:type="dxa"/>
            <w:gridSpan w:val="2"/>
            <w:tcBorders>
              <w:tl2br w:val="nil"/>
              <w:tr2bl w:val="nil"/>
            </w:tcBorders>
            <w:shd w:val="clear" w:color="auto" w:fill="auto"/>
            <w:vAlign w:val="top"/>
          </w:tcPr>
          <w:p w14:paraId="5C5D216E">
            <w:pPr>
              <w:snapToGrid/>
              <w:spacing w:before="0" w:beforeAutospacing="0" w:after="0" w:afterAutospacing="0" w:line="240" w:lineRule="auto"/>
              <w:ind w:right="384" w:rightChars="0"/>
              <w:jc w:val="both"/>
              <w:rPr>
                <w:rFonts w:hint="eastAsia" w:ascii="Calibri" w:hAnsi="Calibri" w:eastAsia="宋体" w:cs="Times New Roman"/>
                <w:color w:val="FF0000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FF0000"/>
                <w:sz w:val="20"/>
                <w:szCs w:val="22"/>
                <w:lang w:val="en-US" w:eastAsia="zh-CN"/>
              </w:rPr>
              <w:t>补贴后3450元/9平方</w:t>
            </w:r>
          </w:p>
        </w:tc>
        <w:tc>
          <w:tcPr>
            <w:tcW w:w="2665" w:type="dxa"/>
            <w:gridSpan w:val="2"/>
            <w:tcBorders>
              <w:tl2br w:val="nil"/>
              <w:tr2bl w:val="nil"/>
            </w:tcBorders>
            <w:shd w:val="clear" w:color="auto" w:fill="auto"/>
            <w:vAlign w:val="top"/>
          </w:tcPr>
          <w:p w14:paraId="4C10CDC3">
            <w:pPr>
              <w:snapToGrid/>
              <w:spacing w:before="0" w:beforeAutospacing="0" w:after="0" w:afterAutospacing="0" w:line="240" w:lineRule="auto"/>
              <w:ind w:right="384" w:rightChars="0"/>
              <w:jc w:val="both"/>
              <w:rPr>
                <w:rFonts w:hint="eastAsia" w:ascii="Calibri" w:hAnsi="Calibri" w:eastAsia="宋体" w:cs="Times New Roman"/>
                <w:color w:val="FF0000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FF0000"/>
                <w:sz w:val="20"/>
                <w:szCs w:val="22"/>
                <w:lang w:val="en-US" w:eastAsia="zh-CN"/>
              </w:rPr>
              <w:t>补贴后225元/每平方</w:t>
            </w:r>
          </w:p>
        </w:tc>
      </w:tr>
      <w:tr w14:paraId="61A41633">
        <w:tblPrEx>
          <w:tblBorders>
            <w:top w:val="single" w:color="578D31" w:themeColor="accent4" w:themeShade="BF" w:sz="12" w:space="0"/>
            <w:left w:val="single" w:color="578D31" w:themeColor="accent4" w:themeShade="BF" w:sz="12" w:space="0"/>
            <w:bottom w:val="single" w:color="578D31" w:themeColor="accent4" w:themeShade="BF" w:sz="12" w:space="0"/>
            <w:right w:val="single" w:color="578D31" w:themeColor="accent4" w:themeShade="BF" w:sz="12" w:space="0"/>
            <w:insideH w:val="single" w:color="578D31" w:themeColor="accent4" w:themeShade="BF" w:sz="12" w:space="0"/>
            <w:insideV w:val="single" w:color="578D31" w:themeColor="accent4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2" w:hRule="atLeast"/>
        </w:trPr>
        <w:tc>
          <w:tcPr>
            <w:tcW w:w="1320" w:type="dxa"/>
            <w:tcBorders>
              <w:tl2br w:val="nil"/>
              <w:tr2bl w:val="nil"/>
            </w:tcBorders>
            <w:vAlign w:val="top"/>
          </w:tcPr>
          <w:p w14:paraId="7283AE2C">
            <w:pPr>
              <w:jc w:val="distribut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配  置</w:t>
            </w:r>
          </w:p>
        </w:tc>
        <w:tc>
          <w:tcPr>
            <w:tcW w:w="7995" w:type="dxa"/>
            <w:gridSpan w:val="6"/>
            <w:tcBorders>
              <w:tl2br w:val="nil"/>
              <w:tr2bl w:val="nil"/>
            </w:tcBorders>
            <w:vAlign w:val="top"/>
          </w:tcPr>
          <w:p w14:paraId="4DD13CCD">
            <w:pPr>
              <w:snapToGrid/>
              <w:spacing w:before="0" w:beforeAutospacing="0" w:after="0" w:afterAutospacing="0" w:line="240" w:lineRule="auto"/>
              <w:ind w:right="384"/>
              <w:jc w:val="both"/>
              <w:rPr>
                <w:rStyle w:val="5"/>
                <w:rFonts w:hint="default" w:ascii="宋体" w:hAnsi="宋体"/>
                <w:b/>
                <w:bCs w:val="0"/>
                <w:i w:val="0"/>
                <w:color w:val="FF0000"/>
                <w:spacing w:val="0"/>
                <w:w w:val="10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vertAlign w:val="baseline"/>
                <w:lang w:val="en-US" w:eastAsia="zh-CN"/>
              </w:rPr>
              <w:t>标准展位9平方米搭建配置：3mX3m含围板、一桌两椅、二盏射灯、公司楣板、220V/500w电源插座一个，如需特殊用电请事先说明，另行收费。光地展位不提供任何展具及设施，展馆收取特装管理费及水电费由参展商自己承担。</w:t>
            </w:r>
          </w:p>
        </w:tc>
      </w:tr>
      <w:tr w14:paraId="482E133E">
        <w:tblPrEx>
          <w:tblBorders>
            <w:top w:val="single" w:color="578D31" w:themeColor="accent4" w:themeShade="BF" w:sz="12" w:space="0"/>
            <w:left w:val="single" w:color="578D31" w:themeColor="accent4" w:themeShade="BF" w:sz="12" w:space="0"/>
            <w:bottom w:val="single" w:color="578D31" w:themeColor="accent4" w:themeShade="BF" w:sz="12" w:space="0"/>
            <w:right w:val="single" w:color="578D31" w:themeColor="accent4" w:themeShade="BF" w:sz="12" w:space="0"/>
            <w:insideH w:val="single" w:color="578D31" w:themeColor="accent4" w:themeShade="BF" w:sz="12" w:space="0"/>
            <w:insideV w:val="single" w:color="578D31" w:themeColor="accent4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320" w:type="dxa"/>
            <w:tcBorders>
              <w:tl2br w:val="nil"/>
              <w:tr2bl w:val="nil"/>
            </w:tcBorders>
            <w:vAlign w:val="top"/>
          </w:tcPr>
          <w:p w14:paraId="5E296C55">
            <w:pPr>
              <w:jc w:val="distribut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相关广告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top"/>
          </w:tcPr>
          <w:p w14:paraId="3FC68F3E">
            <w:pPr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参观券</w:t>
            </w:r>
            <w:r>
              <w:rPr>
                <w:rFonts w:hint="eastAsia"/>
                <w:b/>
                <w:bCs/>
                <w:lang w:val="en-US" w:eastAsia="zh-CN"/>
              </w:rPr>
              <w:t>/门票</w:t>
            </w:r>
          </w:p>
        </w:tc>
        <w:tc>
          <w:tcPr>
            <w:tcW w:w="1785" w:type="dxa"/>
            <w:gridSpan w:val="2"/>
            <w:tcBorders>
              <w:tl2br w:val="nil"/>
              <w:tr2bl w:val="nil"/>
            </w:tcBorders>
            <w:vAlign w:val="top"/>
          </w:tcPr>
          <w:p w14:paraId="33E38118">
            <w:pPr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手提袋</w:t>
            </w:r>
          </w:p>
        </w:tc>
        <w:tc>
          <w:tcPr>
            <w:tcW w:w="1890" w:type="dxa"/>
            <w:gridSpan w:val="2"/>
            <w:tcBorders>
              <w:tl2br w:val="nil"/>
              <w:tr2bl w:val="nil"/>
            </w:tcBorders>
            <w:vAlign w:val="top"/>
          </w:tcPr>
          <w:p w14:paraId="006E4EB4">
            <w:pPr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参观证</w:t>
            </w:r>
            <w:r>
              <w:rPr>
                <w:rFonts w:hint="eastAsia"/>
                <w:b/>
                <w:bCs/>
                <w:lang w:val="en-US" w:eastAsia="zh-CN"/>
              </w:rPr>
              <w:t>/参展证</w:t>
            </w:r>
          </w:p>
        </w:tc>
        <w:tc>
          <w:tcPr>
            <w:tcW w:w="2415" w:type="dxa"/>
            <w:tcBorders>
              <w:tl2br w:val="nil"/>
              <w:tr2bl w:val="nil"/>
            </w:tcBorders>
            <w:vAlign w:val="top"/>
          </w:tcPr>
          <w:p w14:paraId="5BA5BBD6">
            <w:pPr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广告牌</w:t>
            </w:r>
          </w:p>
        </w:tc>
      </w:tr>
      <w:tr w14:paraId="786B9216">
        <w:tblPrEx>
          <w:tblBorders>
            <w:top w:val="single" w:color="578D31" w:themeColor="accent4" w:themeShade="BF" w:sz="12" w:space="0"/>
            <w:left w:val="single" w:color="578D31" w:themeColor="accent4" w:themeShade="BF" w:sz="12" w:space="0"/>
            <w:bottom w:val="single" w:color="578D31" w:themeColor="accent4" w:themeShade="BF" w:sz="12" w:space="0"/>
            <w:right w:val="single" w:color="578D31" w:themeColor="accent4" w:themeShade="BF" w:sz="12" w:space="0"/>
            <w:insideH w:val="single" w:color="578D31" w:themeColor="accent4" w:themeShade="BF" w:sz="12" w:space="0"/>
            <w:insideV w:val="single" w:color="578D31" w:themeColor="accent4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320" w:type="dxa"/>
            <w:tcBorders>
              <w:tl2br w:val="nil"/>
              <w:tr2bl w:val="nil"/>
            </w:tcBorders>
            <w:vAlign w:val="top"/>
          </w:tcPr>
          <w:p w14:paraId="682DECBB">
            <w:pPr>
              <w:jc w:val="distribute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价格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top"/>
          </w:tcPr>
          <w:p w14:paraId="2786CE3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¥5000元/万张</w:t>
            </w:r>
          </w:p>
        </w:tc>
        <w:tc>
          <w:tcPr>
            <w:tcW w:w="1785" w:type="dxa"/>
            <w:gridSpan w:val="2"/>
            <w:tcBorders>
              <w:tl2br w:val="nil"/>
              <w:tr2bl w:val="nil"/>
            </w:tcBorders>
            <w:vAlign w:val="top"/>
          </w:tcPr>
          <w:p w14:paraId="0726C5D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¥5000元/1000个</w:t>
            </w:r>
          </w:p>
        </w:tc>
        <w:tc>
          <w:tcPr>
            <w:tcW w:w="1890" w:type="dxa"/>
            <w:gridSpan w:val="2"/>
            <w:tcBorders>
              <w:tl2br w:val="nil"/>
              <w:tr2bl w:val="nil"/>
            </w:tcBorders>
            <w:vAlign w:val="top"/>
          </w:tcPr>
          <w:p w14:paraId="28CFBF0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¥5000元/1000个</w:t>
            </w:r>
          </w:p>
        </w:tc>
        <w:tc>
          <w:tcPr>
            <w:tcW w:w="2415" w:type="dxa"/>
            <w:tcBorders>
              <w:tl2br w:val="nil"/>
              <w:tr2bl w:val="nil"/>
            </w:tcBorders>
            <w:vAlign w:val="top"/>
          </w:tcPr>
          <w:p w14:paraId="26E7B5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¥9800/块</w:t>
            </w:r>
          </w:p>
        </w:tc>
      </w:tr>
      <w:tr w14:paraId="6F3C328F">
        <w:tblPrEx>
          <w:tblBorders>
            <w:top w:val="single" w:color="578D31" w:themeColor="accent4" w:themeShade="BF" w:sz="12" w:space="0"/>
            <w:left w:val="single" w:color="578D31" w:themeColor="accent4" w:themeShade="BF" w:sz="12" w:space="0"/>
            <w:bottom w:val="single" w:color="578D31" w:themeColor="accent4" w:themeShade="BF" w:sz="12" w:space="0"/>
            <w:right w:val="single" w:color="578D31" w:themeColor="accent4" w:themeShade="BF" w:sz="12" w:space="0"/>
            <w:insideH w:val="single" w:color="578D31" w:themeColor="accent4" w:themeShade="BF" w:sz="12" w:space="0"/>
            <w:insideV w:val="single" w:color="578D31" w:themeColor="accent4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320" w:type="dxa"/>
            <w:tcBorders>
              <w:tl2br w:val="nil"/>
              <w:tr2bl w:val="nil"/>
            </w:tcBorders>
            <w:vAlign w:val="top"/>
          </w:tcPr>
          <w:p w14:paraId="35D49D81">
            <w:pPr>
              <w:jc w:val="distribute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尺寸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top"/>
          </w:tcPr>
          <w:p w14:paraId="7D574BED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背面全版广告21x9cm</w:t>
            </w:r>
          </w:p>
        </w:tc>
        <w:tc>
          <w:tcPr>
            <w:tcW w:w="1785" w:type="dxa"/>
            <w:gridSpan w:val="2"/>
            <w:tcBorders>
              <w:tl2br w:val="nil"/>
              <w:tr2bl w:val="nil"/>
            </w:tcBorders>
            <w:vAlign w:val="top"/>
          </w:tcPr>
          <w:p w14:paraId="4D75331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背面全版广告29x33.5x8.5cm</w:t>
            </w:r>
          </w:p>
        </w:tc>
        <w:tc>
          <w:tcPr>
            <w:tcW w:w="1890" w:type="dxa"/>
            <w:gridSpan w:val="2"/>
            <w:tcBorders>
              <w:tl2br w:val="nil"/>
              <w:tr2bl w:val="nil"/>
            </w:tcBorders>
            <w:vAlign w:val="top"/>
          </w:tcPr>
          <w:p w14:paraId="46A4C77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背面全版广告7.1x10.5cm</w:t>
            </w:r>
          </w:p>
        </w:tc>
        <w:tc>
          <w:tcPr>
            <w:tcW w:w="2415" w:type="dxa"/>
            <w:tcBorders>
              <w:tl2br w:val="nil"/>
              <w:tr2bl w:val="nil"/>
            </w:tcBorders>
            <w:vAlign w:val="top"/>
          </w:tcPr>
          <w:p w14:paraId="39085A5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室外桁架广告</w:t>
            </w:r>
          </w:p>
          <w:p w14:paraId="3FEFE61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ge">
                    <wp:posOffset>378460</wp:posOffset>
                  </wp:positionV>
                  <wp:extent cx="852170" cy="582930"/>
                  <wp:effectExtent l="0" t="0" r="5080" b="7620"/>
                  <wp:wrapNone/>
                  <wp:docPr id="12" name="图片 3" descr="微信图片_2023101614291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微信图片_2023101614291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300x600cm</w:t>
            </w:r>
          </w:p>
        </w:tc>
      </w:tr>
      <w:tr w14:paraId="6AC54599">
        <w:tblPrEx>
          <w:tblBorders>
            <w:top w:val="single" w:color="578D31" w:themeColor="accent4" w:themeShade="BF" w:sz="12" w:space="0"/>
            <w:left w:val="single" w:color="578D31" w:themeColor="accent4" w:themeShade="BF" w:sz="12" w:space="0"/>
            <w:bottom w:val="single" w:color="578D31" w:themeColor="accent4" w:themeShade="BF" w:sz="12" w:space="0"/>
            <w:right w:val="single" w:color="578D31" w:themeColor="accent4" w:themeShade="BF" w:sz="12" w:space="0"/>
            <w:insideH w:val="single" w:color="578D31" w:themeColor="accent4" w:themeShade="BF" w:sz="12" w:space="0"/>
            <w:insideV w:val="single" w:color="578D31" w:themeColor="accent4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</w:trPr>
        <w:tc>
          <w:tcPr>
            <w:tcW w:w="1320" w:type="dxa"/>
            <w:tcBorders>
              <w:tl2br w:val="nil"/>
              <w:tr2bl w:val="nil"/>
            </w:tcBorders>
            <w:vAlign w:val="top"/>
          </w:tcPr>
          <w:p w14:paraId="4DEFFDFD">
            <w:pPr>
              <w:jc w:val="distribute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图片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top"/>
          </w:tcPr>
          <w:p w14:paraId="0ED7B541">
            <w:pPr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page">
                    <wp:posOffset>17145</wp:posOffset>
                  </wp:positionV>
                  <wp:extent cx="723900" cy="501650"/>
                  <wp:effectExtent l="0" t="0" r="0" b="12700"/>
                  <wp:wrapNone/>
                  <wp:docPr id="7" name="_x0000_s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_x0000_s10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5" w:type="dxa"/>
            <w:gridSpan w:val="2"/>
            <w:tcBorders>
              <w:tl2br w:val="nil"/>
              <w:tr2bl w:val="nil"/>
            </w:tcBorders>
            <w:vAlign w:val="top"/>
          </w:tcPr>
          <w:p w14:paraId="021B465D">
            <w:pPr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page">
                    <wp:posOffset>142240</wp:posOffset>
                  </wp:positionH>
                  <wp:positionV relativeFrom="page">
                    <wp:posOffset>45720</wp:posOffset>
                  </wp:positionV>
                  <wp:extent cx="725170" cy="433705"/>
                  <wp:effectExtent l="0" t="0" r="17780" b="4445"/>
                  <wp:wrapNone/>
                  <wp:docPr id="8" name="_x0000_s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_x0000_s10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0" w:type="dxa"/>
            <w:gridSpan w:val="2"/>
            <w:tcBorders>
              <w:tl2br w:val="nil"/>
              <w:tr2bl w:val="nil"/>
            </w:tcBorders>
            <w:vAlign w:val="top"/>
          </w:tcPr>
          <w:p w14:paraId="0A12540F">
            <w:pPr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page">
                    <wp:posOffset>177800</wp:posOffset>
                  </wp:positionH>
                  <wp:positionV relativeFrom="page">
                    <wp:posOffset>60325</wp:posOffset>
                  </wp:positionV>
                  <wp:extent cx="734060" cy="384175"/>
                  <wp:effectExtent l="0" t="0" r="8890" b="15875"/>
                  <wp:wrapTight wrapText="bothSides">
                    <wp:wrapPolygon>
                      <wp:start x="0" y="0"/>
                      <wp:lineTo x="0" y="20350"/>
                      <wp:lineTo x="21301" y="20350"/>
                      <wp:lineTo x="21301" y="0"/>
                      <wp:lineTo x="0" y="0"/>
                    </wp:wrapPolygon>
                  </wp:wrapTight>
                  <wp:docPr id="9" name="_x0000_s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_x0000_s10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5" w:type="dxa"/>
            <w:tcBorders>
              <w:tl2br w:val="nil"/>
              <w:tr2bl w:val="nil"/>
            </w:tcBorders>
            <w:vAlign w:val="top"/>
          </w:tcPr>
          <w:p w14:paraId="35D64921">
            <w:pPr>
              <w:rPr>
                <w:rFonts w:hint="eastAsia"/>
                <w:lang w:val="en-US" w:eastAsia="zh-CN"/>
              </w:rPr>
            </w:pPr>
          </w:p>
        </w:tc>
      </w:tr>
    </w:tbl>
    <w:p w14:paraId="536521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before="0" w:beforeAutospacing="0" w:after="157" w:afterAutospacing="0" w:line="240" w:lineRule="auto"/>
        <w:ind w:right="384"/>
        <w:jc w:val="both"/>
        <w:rPr>
          <w:rStyle w:val="5"/>
          <w:rFonts w:hint="eastAsia" w:ascii="宋体" w:hAnsi="宋体" w:eastAsia="宋体"/>
          <w:b/>
          <w:bCs w:val="0"/>
          <w:i w:val="0"/>
          <w:color w:val="FF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5"/>
          <w:rFonts w:hint="eastAsia" w:ascii="宋体" w:hAnsi="宋体" w:eastAsia="宋体"/>
          <w:b/>
          <w:bCs w:val="0"/>
          <w:i w:val="0"/>
          <w:color w:val="FF0000"/>
          <w:spacing w:val="0"/>
          <w:w w:val="10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107950</wp:posOffset>
            </wp:positionV>
            <wp:extent cx="2519045" cy="504825"/>
            <wp:effectExtent l="0" t="0" r="14605" b="9525"/>
            <wp:wrapNone/>
            <wp:docPr id="6" name="图片 6" descr="799bf6b279f857c3d84b2b597c8c5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99bf6b279f857c3d84b2b597c8c5a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30AB3">
      <w:pPr>
        <w:snapToGrid/>
        <w:spacing w:before="0" w:beforeAutospacing="0" w:after="0" w:afterAutospacing="0" w:line="240" w:lineRule="auto"/>
        <w:ind w:right="384"/>
        <w:jc w:val="both"/>
        <w:rPr>
          <w:rStyle w:val="5"/>
          <w:rFonts w:hint="default" w:ascii="宋体" w:hAnsi="宋体" w:eastAsia="宋体"/>
          <w:b/>
          <w:bCs w:val="0"/>
          <w:i w:val="0"/>
          <w:color w:val="FF0000"/>
          <w:spacing w:val="0"/>
          <w:w w:val="100"/>
          <w:kern w:val="0"/>
          <w:sz w:val="28"/>
          <w:szCs w:val="28"/>
          <w:lang w:val="en-US" w:eastAsia="zh-CN" w:bidi="ar-SA"/>
        </w:rPr>
      </w:pPr>
      <w:r>
        <w:rPr>
          <w:rStyle w:val="5"/>
          <w:rFonts w:hint="default" w:ascii="宋体" w:hAnsi="宋体" w:eastAsia="宋体"/>
          <w:b/>
          <w:bCs w:val="0"/>
          <w:i w:val="0"/>
          <w:color w:val="FF0000"/>
          <w:spacing w:val="0"/>
          <w:w w:val="100"/>
          <w:kern w:val="0"/>
          <w:sz w:val="28"/>
          <w:szCs w:val="28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4507865</wp:posOffset>
            </wp:positionV>
            <wp:extent cx="2164715" cy="433705"/>
            <wp:effectExtent l="0" t="0" r="6985" b="4445"/>
            <wp:wrapNone/>
            <wp:docPr id="10" name="图片 10" descr="50fe8c9848c729bfd4bf2393a86b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0fe8c9848c729bfd4bf2393a86b98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F0AB8">
      <w:pPr>
        <w:snapToGrid/>
        <w:spacing w:before="0" w:beforeAutospacing="0" w:after="0" w:afterAutospacing="0" w:line="240" w:lineRule="auto"/>
        <w:ind w:right="804"/>
        <w:jc w:val="left"/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18"/>
          <w:szCs w:val="18"/>
          <w:lang w:val="en-US" w:eastAsia="zh-CN" w:bidi="ar-SA"/>
        </w:rPr>
      </w:pPr>
    </w:p>
    <w:p w14:paraId="42457C59">
      <w:pPr>
        <w:snapToGrid/>
        <w:spacing w:before="0" w:beforeAutospacing="0" w:after="0" w:afterAutospacing="0" w:line="240" w:lineRule="auto"/>
        <w:ind w:right="804"/>
        <w:jc w:val="left"/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18"/>
          <w:szCs w:val="18"/>
          <w:lang w:val="en-US" w:eastAsia="zh-CN" w:bidi="ar-SA"/>
        </w:rPr>
      </w:pPr>
    </w:p>
    <w:p w14:paraId="547F1E5E">
      <w:pPr>
        <w:snapToGrid/>
        <w:spacing w:before="0" w:beforeAutospacing="0" w:after="0" w:afterAutospacing="0" w:line="240" w:lineRule="auto"/>
        <w:ind w:right="804"/>
        <w:jc w:val="left"/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18"/>
          <w:szCs w:val="18"/>
          <w:lang w:val="en-US" w:eastAsia="zh-CN" w:bidi="ar-SA"/>
        </w:rPr>
      </w:pPr>
    </w:p>
    <w:p w14:paraId="67677A5E">
      <w:pPr>
        <w:snapToGrid/>
        <w:spacing w:before="0" w:beforeAutospacing="0" w:after="0" w:afterAutospacing="0" w:line="240" w:lineRule="auto"/>
        <w:ind w:right="804"/>
        <w:jc w:val="left"/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18"/>
          <w:szCs w:val="18"/>
          <w:lang w:val="en-US" w:eastAsia="zh-CN" w:bidi="ar-SA"/>
        </w:rPr>
      </w:pPr>
    </w:p>
    <w:p w14:paraId="303C15B0">
      <w:pPr>
        <w:snapToGrid/>
        <w:spacing w:before="0" w:beforeAutospacing="0" w:after="0" w:afterAutospacing="0" w:line="240" w:lineRule="auto"/>
        <w:ind w:right="804"/>
        <w:jc w:val="left"/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</w:pPr>
      <w:r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 xml:space="preserve">地  址：内蒙古呼和浩特赛罕区南二环路大和百汇之星3栋706-707    </w:t>
      </w:r>
    </w:p>
    <w:p w14:paraId="00999C63">
      <w:pPr>
        <w:snapToGrid/>
        <w:spacing w:before="0" w:beforeAutospacing="0" w:after="0" w:afterAutospacing="0" w:line="240" w:lineRule="auto"/>
        <w:ind w:right="804"/>
        <w:jc w:val="left"/>
        <w:rPr>
          <w:rStyle w:val="5"/>
          <w:rFonts w:hint="default" w:ascii="宋体" w:hAnsi="宋体" w:eastAsia="宋体"/>
          <w:b/>
          <w:bCs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</w:pPr>
      <w:r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>联系人：</w:t>
      </w:r>
      <w:r>
        <w:rPr>
          <w:rStyle w:val="5"/>
          <w:rFonts w:hint="eastAsia" w:ascii="宋体" w:hAnsi="宋体"/>
          <w:b w:val="0"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 xml:space="preserve">张经理       </w:t>
      </w:r>
      <w:r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>手机（微信）：</w:t>
      </w:r>
      <w:r>
        <w:rPr>
          <w:rStyle w:val="5"/>
          <w:rFonts w:hint="eastAsia" w:ascii="宋体" w:hAnsi="宋体"/>
          <w:b w:val="0"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>15548816677</w:t>
      </w:r>
    </w:p>
    <w:p w14:paraId="601CCA1D">
      <w:pPr>
        <w:snapToGrid/>
        <w:spacing w:before="0" w:beforeAutospacing="0" w:after="0" w:afterAutospacing="0" w:line="240" w:lineRule="auto"/>
        <w:ind w:right="804"/>
        <w:jc w:val="left"/>
        <w:rPr>
          <w:rStyle w:val="5"/>
          <w:rFonts w:hint="default" w:ascii="宋体" w:hAnsi="宋体" w:eastAsia="宋体"/>
          <w:b/>
          <w:bCs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</w:pPr>
      <w:r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>Q Q:</w:t>
      </w:r>
      <w:r>
        <w:rPr>
          <w:rStyle w:val="5"/>
          <w:rFonts w:hint="eastAsia" w:ascii="宋体" w:hAnsi="宋体" w:eastAsia="宋体"/>
          <w:b w:val="0"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 xml:space="preserve"> </w:t>
      </w:r>
      <w:r>
        <w:rPr>
          <w:rFonts w:ascii="微软雅黑" w:hAnsi="微软雅黑" w:eastAsia="微软雅黑" w:cs="微软雅黑"/>
          <w:i w:val="0"/>
          <w:iCs w:val="0"/>
          <w:caps w:val="0"/>
          <w:spacing w:val="0"/>
          <w:sz w:val="18"/>
          <w:szCs w:val="18"/>
          <w:shd w:val="clear" w:fill="FFFFFF"/>
        </w:rPr>
        <w:t>1263972311</w:t>
      </w:r>
      <w:r>
        <w:rPr>
          <w:rStyle w:val="5"/>
          <w:rFonts w:hint="eastAsia" w:ascii="宋体" w:hAnsi="宋体" w:eastAsia="宋体"/>
          <w:b w:val="0"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 xml:space="preserve">     </w:t>
      </w:r>
      <w:r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 xml:space="preserve"> E-mail：</w:t>
      </w:r>
      <w:r>
        <w:rPr>
          <w:rFonts w:ascii="微软雅黑" w:hAnsi="微软雅黑" w:eastAsia="微软雅黑" w:cs="微软雅黑"/>
          <w:i w:val="0"/>
          <w:iCs w:val="0"/>
          <w:caps w:val="0"/>
          <w:spacing w:val="0"/>
          <w:sz w:val="18"/>
          <w:szCs w:val="18"/>
          <w:shd w:val="clear" w:fill="FFFFFF"/>
        </w:rPr>
        <w:t>1263972311</w:t>
      </w:r>
      <w:r>
        <w:rPr>
          <w:rStyle w:val="5"/>
          <w:rFonts w:hint="eastAsia" w:ascii="宋体" w:hAnsi="宋体"/>
          <w:b w:val="0"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>@qq.com</w:t>
      </w:r>
      <w:bookmarkStart w:id="0" w:name="_GoBack"/>
      <w:bookmarkEnd w:id="0"/>
    </w:p>
    <w:p w14:paraId="14439CCF">
      <w:pPr>
        <w:snapToGrid/>
        <w:spacing w:before="0" w:beforeAutospacing="0" w:after="0" w:afterAutospacing="0" w:line="240" w:lineRule="auto"/>
        <w:ind w:right="804"/>
        <w:jc w:val="left"/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</w:pPr>
      <w:r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>乳博会官网：</w:t>
      </w:r>
      <w:r>
        <w:rPr>
          <w:rStyle w:val="5"/>
          <w:rFonts w:hint="eastAsia" w:ascii="宋体" w:hAnsi="宋体" w:eastAsia="宋体"/>
          <w:b w:val="0"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 xml:space="preserve">http://www.dairyexpo.cn    </w:t>
      </w:r>
    </w:p>
    <w:p w14:paraId="41CAADB3">
      <w:pPr>
        <w:snapToGrid/>
        <w:spacing w:before="0" w:beforeAutospacing="0" w:after="0" w:afterAutospacing="0" w:line="240" w:lineRule="auto"/>
        <w:ind w:right="804"/>
        <w:jc w:val="left"/>
        <w:rPr>
          <w:rStyle w:val="5"/>
          <w:rFonts w:hint="default" w:ascii="宋体" w:hAnsi="宋体" w:eastAsia="宋体"/>
          <w:b/>
          <w:bCs w:val="0"/>
          <w:i w:val="0"/>
          <w:color w:val="FF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Style w:val="5"/>
          <w:rFonts w:hint="eastAsia" w:ascii="宋体" w:hAnsi="宋体" w:eastAsia="宋体"/>
          <w:b/>
          <w:bCs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>乳博会官方微信：</w:t>
      </w:r>
      <w:r>
        <w:rPr>
          <w:rStyle w:val="5"/>
          <w:rFonts w:hint="eastAsia" w:ascii="宋体" w:hAnsi="宋体" w:eastAsia="宋体"/>
          <w:b w:val="0"/>
          <w:i w:val="0"/>
          <w:color w:val="000000"/>
          <w:spacing w:val="0"/>
          <w:w w:val="100"/>
          <w:kern w:val="2"/>
          <w:sz w:val="20"/>
          <w:szCs w:val="20"/>
          <w:lang w:val="en-US" w:eastAsia="zh-CN" w:bidi="ar-SA"/>
        </w:rPr>
        <w:t>nmgdairy</w:t>
      </w:r>
    </w:p>
    <w:sectPr>
      <w:pgSz w:w="11906" w:h="16838"/>
      <w:pgMar w:top="1157" w:right="1463" w:bottom="1157" w:left="146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483C3BA6-9CE4-45C1-AC00-97930E63710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EB9091E-652C-4165-A40A-4CF59BDCC05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6E3440D0-60E4-41AC-B2E9-1C5957E432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zNjUyYTg4YzdiODgxOTBjNzJiNDI4ZjM0OTk3OTYifQ=="/>
  </w:docVars>
  <w:rsids>
    <w:rsidRoot w:val="00000000"/>
    <w:rsid w:val="02CC6425"/>
    <w:rsid w:val="0407204B"/>
    <w:rsid w:val="07B60AD8"/>
    <w:rsid w:val="088A4149"/>
    <w:rsid w:val="0B015613"/>
    <w:rsid w:val="11457119"/>
    <w:rsid w:val="12AC1697"/>
    <w:rsid w:val="13405E01"/>
    <w:rsid w:val="14093F96"/>
    <w:rsid w:val="16B318BD"/>
    <w:rsid w:val="16E143F0"/>
    <w:rsid w:val="17E93BAF"/>
    <w:rsid w:val="19967ECD"/>
    <w:rsid w:val="1B083691"/>
    <w:rsid w:val="1B23671D"/>
    <w:rsid w:val="1C420090"/>
    <w:rsid w:val="1E676D64"/>
    <w:rsid w:val="1FE31F8A"/>
    <w:rsid w:val="20250841"/>
    <w:rsid w:val="24281690"/>
    <w:rsid w:val="27636B7F"/>
    <w:rsid w:val="27F427FC"/>
    <w:rsid w:val="296E064D"/>
    <w:rsid w:val="2B6435A1"/>
    <w:rsid w:val="2C6941AB"/>
    <w:rsid w:val="2E5627E6"/>
    <w:rsid w:val="32172B76"/>
    <w:rsid w:val="3382363E"/>
    <w:rsid w:val="38DE55D9"/>
    <w:rsid w:val="390F5319"/>
    <w:rsid w:val="3C212ABA"/>
    <w:rsid w:val="3FE35B67"/>
    <w:rsid w:val="408829FA"/>
    <w:rsid w:val="42FA74B4"/>
    <w:rsid w:val="44841AAB"/>
    <w:rsid w:val="45FC1F96"/>
    <w:rsid w:val="48C05429"/>
    <w:rsid w:val="4A6B5AF1"/>
    <w:rsid w:val="509A2E43"/>
    <w:rsid w:val="50DB36C9"/>
    <w:rsid w:val="532319B6"/>
    <w:rsid w:val="54D66671"/>
    <w:rsid w:val="5748483A"/>
    <w:rsid w:val="58371DB9"/>
    <w:rsid w:val="59927FEE"/>
    <w:rsid w:val="5CE61E3D"/>
    <w:rsid w:val="5D3B3315"/>
    <w:rsid w:val="5E416DB3"/>
    <w:rsid w:val="62087D51"/>
    <w:rsid w:val="660B3602"/>
    <w:rsid w:val="66480343"/>
    <w:rsid w:val="6DD72B76"/>
    <w:rsid w:val="6FF17619"/>
    <w:rsid w:val="731D0D34"/>
    <w:rsid w:val="74A470FC"/>
    <w:rsid w:val="75A30D55"/>
    <w:rsid w:val="78061E7B"/>
    <w:rsid w:val="792A37FF"/>
    <w:rsid w:val="7C70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NormalCharacter"/>
    <w:link w:val="1"/>
    <w:autoRedefine/>
    <w:semiHidden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6">
    <w:name w:val="普通(网站)1"/>
    <w:basedOn w:val="1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customStyle="1" w:styleId="7">
    <w:name w:val="网格型1"/>
    <w:basedOn w:val="8"/>
    <w:qFormat/>
    <w:uiPriority w:val="0"/>
    <w:pPr>
      <w:widowControl w:val="0"/>
      <w:jc w:val="both"/>
    </w:pPr>
  </w:style>
  <w:style w:type="table" w:customStyle="1" w:styleId="8">
    <w:name w:val="普通表格1"/>
    <w:autoRedefine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chart" Target="charts/chart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4" Type="http://schemas.microsoft.com/office/2011/relationships/chartColorStyle" Target="colors1.xml"/><Relationship Id="rId3" Type="http://schemas.microsoft.com/office/2011/relationships/chartStyle" Target="style1.xml"/><Relationship Id="rId2" Type="http://schemas.openxmlformats.org/officeDocument/2006/relationships/themeOverride" Target="../theme/themeOverride1.xml"/><Relationship Id="rId1" Type="http://schemas.openxmlformats.org/officeDocument/2006/relationships/oleObject" Target="file:///E:\&#20083;&#21338;&#20250;\&#35199;&#21335;&#22902;&#19994;\&#24120;&#29992;&#34920;&#26684;\2024&#35199;&#21335;&#22902;&#19994;&#22823;&#20250;&#23450;&#23637;&#26126;&#3245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t>往届展会观众类别占比</a:t>
            </a:r>
          </a:p>
        </c:rich>
      </c:tx>
      <c:layout>
        <c:manualLayout>
          <c:xMode val="edge"/>
          <c:yMode val="edge"/>
          <c:x val="0.126842105263158"/>
          <c:y val="0.0381944444444444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[2024西南奶业大会定展明细.xlsx]Sheet2!$B$206</c:f>
              <c:strCache>
                <c:ptCount val="1"/>
                <c:pt idx="0">
                  <c:v/>
                </c:pt>
              </c:strCache>
            </c:strRef>
          </c:tx>
          <c:spPr>
            <a:ln w="15875">
              <a:solidFill>
                <a:schemeClr val="bg1"/>
              </a:solidFill>
            </a:ln>
            <a:effectLst>
              <a:outerShdw blurRad="63500" sx="102000" sy="102000" algn="ctr" rotWithShape="0">
                <a:schemeClr val="tx1">
                  <a:lumMod val="50000"/>
                  <a:lumOff val="50000"/>
                  <a:alpha val="40000"/>
                </a:schemeClr>
              </a:outerShdw>
            </a:effectLst>
            <a:sp3d contourW="15875"/>
          </c:spPr>
          <c:explosion val="0"/>
          <c:dPt>
            <c:idx val="0"/>
            <c:bubble3D val="0"/>
            <c:spPr>
              <a:pattFill prst="dkUpDiag">
                <a:fgClr>
                  <a:schemeClr val="accent3"/>
                </a:fgClr>
                <a:bgClr>
                  <a:schemeClr val="accent3">
                    <a:lumMod val="60000"/>
                    <a:lumOff val="40000"/>
                  </a:schemeClr>
                </a:bgClr>
              </a:patt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1"/>
            <c:bubble3D val="0"/>
            <c:spPr>
              <a:solidFill>
                <a:srgbClr val="4874CB"/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2"/>
            <c:bubble3D val="0"/>
            <c:spPr>
              <a:solidFill>
                <a:srgbClr val="F2BA02">
                  <a:lumMod val="60000"/>
                  <a:lumOff val="40000"/>
                </a:srgbClr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3"/>
            <c:bubble3D val="0"/>
            <c:spPr>
              <a:solidFill>
                <a:srgbClr val="30C0B4">
                  <a:lumMod val="60000"/>
                  <a:lumOff val="40000"/>
                </a:srgbClr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4"/>
            <c:bubble3D val="0"/>
            <c:spPr>
              <a:solidFill>
                <a:srgbClr val="75BD42">
                  <a:lumMod val="75000"/>
                </a:srgbClr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5"/>
            <c:bubble3D val="0"/>
            <c:spPr>
              <a:solidFill>
                <a:schemeClr val="accent6"/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7"/>
            <c:bubble3D val="0"/>
            <c:spPr>
              <a:solidFill>
                <a:srgbClr val="FF0000"/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Lbls>
            <c:dLbl>
              <c:idx val="0"/>
              <c:layout/>
              <c:numFmt formatCode="General" sourceLinked="1"/>
              <c:spPr>
                <a:solidFill>
                  <a:schemeClr val="lt1"/>
                </a:solidFill>
                <a:ln>
                  <a:solidFill>
                    <a:schemeClr val="accent3"/>
                  </a:solidFill>
                </a:ln>
                <a:effectLst>
                  <a:outerShdw blurRad="63500" sx="102000" sy="102000" algn="ctr" rotWithShape="0">
                    <a:schemeClr val="accent3">
                      <a:lumMod val="50000"/>
                      <a:alpha val="40000"/>
                    </a:schemeClr>
                  </a:outerShdw>
                </a:effectLst>
              </c:spPr>
              <c:txPr>
                <a:bodyPr rot="0" spcFirstLastPara="0" vertOverflow="clip" vert="horz" wrap="square" lIns="36576" tIns="18288" rIns="36576" bIns="18288" anchor="ctr" anchorCtr="1" forceAA="0"/>
                <a:lstStyle/>
                <a:p>
                  <a:pPr>
                    <a:defRPr lang="zh-CN" sz="900" b="0" i="0" u="none" strike="noStrike" kern="1200" baseline="0">
                      <a:solidFill>
                        <a:schemeClr val="accent3">
                          <a:lumMod val="75000"/>
                          <a:alpha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numFmt formatCode="General" sourceLinked="1"/>
              <c:spPr>
                <a:solidFill>
                  <a:schemeClr val="lt1"/>
                </a:solidFill>
                <a:ln>
                  <a:solidFill>
                    <a:schemeClr val="accent5"/>
                  </a:solidFill>
                </a:ln>
                <a:effectLst>
                  <a:outerShdw blurRad="63500" sx="102000" sy="102000" algn="ctr" rotWithShape="0">
                    <a:schemeClr val="accent5">
                      <a:lumMod val="50000"/>
                      <a:alpha val="40000"/>
                    </a:schemeClr>
                  </a:outerShdw>
                </a:effectLst>
              </c:spPr>
              <c:txPr>
                <a:bodyPr rot="0" spcFirstLastPara="0" vertOverflow="clip" vert="horz" wrap="square" lIns="36576" tIns="18288" rIns="36576" bIns="18288" anchor="ctr" anchorCtr="1" forceAA="0"/>
                <a:lstStyle/>
                <a:p>
                  <a:pPr>
                    <a:defRPr lang="zh-CN" sz="900" b="0" i="0" u="none" strike="noStrike" kern="120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General" sourceLinked="1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0" vertOverflow="clip" horzOverflow="clip" vert="horz" wrap="square" lIns="36576" tIns="18288" rIns="36576" bIns="18288" anchor="ctr" anchorCtr="1" forceAA="0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[2024西南奶业大会定展明细.xlsx]Sheet2!$A$207:$A$214</c:f>
              <c:strCache>
                <c:ptCount val="8"/>
                <c:pt idx="0">
                  <c:v>各省（自治区、直辖市）及地方奶（乳）业协会负责人</c:v>
                </c:pt>
                <c:pt idx="1">
                  <c:v>各地区各乳制品加工企业高层及各事业部科研人员、管理人员、采购人员</c:v>
                </c:pt>
                <c:pt idx="2">
                  <c:v>各地区各地奶（乳）业主管部门、事业单位、科研院校负责人及相关人员</c:v>
                </c:pt>
                <c:pt idx="3">
                  <c:v>各乳企加工企业</c:v>
                </c:pt>
                <c:pt idx="4">
                  <c:v>各省市周边牧场主</c:v>
                </c:pt>
                <c:pt idx="5">
                  <c:v>奶业相关电商及零售商、消费者</c:v>
                </c:pt>
                <c:pt idx="6">
                  <c:v>奶业行业媒体及主流媒体等</c:v>
                </c:pt>
                <c:pt idx="7">
                  <c:v>其他</c:v>
                </c:pt>
              </c:strCache>
            </c:strRef>
          </c:cat>
          <c:val>
            <c:numRef>
              <c:f>[2024西南奶业大会定展明细.xlsx]Sheet2!$B$207:$B$214</c:f>
              <c:numCache>
                <c:formatCode>General</c:formatCode>
                <c:ptCount val="8"/>
                <c:pt idx="0">
                  <c:v>165</c:v>
                </c:pt>
                <c:pt idx="1">
                  <c:v>211</c:v>
                </c:pt>
                <c:pt idx="2">
                  <c:v>364</c:v>
                </c:pt>
                <c:pt idx="3">
                  <c:v>2647</c:v>
                </c:pt>
                <c:pt idx="4">
                  <c:v>4237</c:v>
                </c:pt>
                <c:pt idx="5">
                  <c:v>1438</c:v>
                </c:pt>
                <c:pt idx="6">
                  <c:v>98</c:v>
                </c:pt>
                <c:pt idx="7">
                  <c:v>275</c:v>
                </c:pt>
              </c:numCache>
            </c:numRef>
          </c:val>
        </c:ser>
        <c:ser>
          <c:idx val="1"/>
          <c:order val="1"/>
          <c:tx>
            <c:strRef>
              <c:f>[2024西南奶业大会定展明细.xlsx]Sheet2!$C$206</c:f>
              <c:strCache>
                <c:ptCount val="1"/>
                <c:pt idx="0">
                  <c:v>占比</c:v>
                </c:pt>
              </c:strCache>
            </c:strRef>
          </c:tx>
          <c:spPr>
            <a:ln w="15875">
              <a:solidFill>
                <a:schemeClr val="bg1"/>
              </a:solidFill>
            </a:ln>
            <a:effectLst>
              <a:outerShdw blurRad="63500" sx="102000" sy="102000" algn="ctr" rotWithShape="0">
                <a:schemeClr val="tx1">
                  <a:lumMod val="50000"/>
                  <a:lumOff val="50000"/>
                  <a:alpha val="40000"/>
                </a:schemeClr>
              </a:outerShdw>
            </a:effectLst>
            <a:sp3d contourW="15875"/>
          </c:spPr>
          <c:explosion val="0"/>
          <c:dPt>
            <c:idx val="0"/>
            <c:bubble3D val="0"/>
            <c:spPr>
              <a:pattFill prst="dkUpDiag">
                <a:fgClr>
                  <a:schemeClr val="accent3"/>
                </a:fgClr>
                <a:bgClr>
                  <a:schemeClr val="accent3">
                    <a:lumMod val="60000"/>
                    <a:lumOff val="40000"/>
                  </a:schemeClr>
                </a:bgClr>
              </a:patt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1"/>
            <c:bubble3D val="0"/>
            <c:spPr>
              <a:gradFill>
                <a:gsLst>
                  <a:gs pos="0">
                    <a:schemeClr val="accent5">
                      <a:lumMod val="60000"/>
                      <a:lumOff val="40000"/>
                    </a:schemeClr>
                  </a:gs>
                  <a:gs pos="80000">
                    <a:schemeClr val="accent5"/>
                  </a:gs>
                </a:gsLst>
                <a:lin ang="2700000" scaled="0"/>
              </a:gra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2"/>
            <c:bubble3D val="0"/>
            <c:spPr>
              <a:solidFill>
                <a:schemeClr val="accent3"/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3"/>
            <c:bubble3D val="0"/>
            <c:spPr>
              <a:solidFill>
                <a:schemeClr val="accent4"/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4"/>
            <c:bubble3D val="0"/>
            <c:spPr>
              <a:solidFill>
                <a:schemeClr val="accent5"/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5"/>
            <c:bubble3D val="0"/>
            <c:spPr>
              <a:solidFill>
                <a:schemeClr val="accent6"/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5875">
                <a:solidFill>
                  <a:schemeClr val="bg1"/>
                </a:solidFill>
              </a:ln>
              <a:effectLst>
                <a:outerShdw blurRad="63500" sx="102000" sy="102000" algn="ctr" rotWithShape="0">
                  <a:schemeClr val="tx1">
                    <a:lumMod val="50000"/>
                    <a:lumOff val="50000"/>
                    <a:alpha val="40000"/>
                  </a:schemeClr>
                </a:outerShdw>
              </a:effectLst>
              <a:sp3d contourW="15875"/>
            </c:spPr>
          </c:dPt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[2024西南奶业大会定展明细.xlsx]Sheet2!$A$207:$A$214</c:f>
              <c:strCache>
                <c:ptCount val="8"/>
                <c:pt idx="0">
                  <c:v>各省（自治区、直辖市）及地方奶（乳）业协会负责人</c:v>
                </c:pt>
                <c:pt idx="1">
                  <c:v>各地区各乳制品加工企业高层及各事业部科研人员、管理人员、采购人员</c:v>
                </c:pt>
                <c:pt idx="2">
                  <c:v>各地区各地奶（乳）业主管部门、事业单位、科研院校负责人及相关人员</c:v>
                </c:pt>
                <c:pt idx="3">
                  <c:v>各乳企加工企业</c:v>
                </c:pt>
                <c:pt idx="4">
                  <c:v>各省市周边牧场主</c:v>
                </c:pt>
                <c:pt idx="5">
                  <c:v>奶业相关电商及零售商、消费者</c:v>
                </c:pt>
                <c:pt idx="6">
                  <c:v>奶业行业媒体及主流媒体等</c:v>
                </c:pt>
                <c:pt idx="7">
                  <c:v>其他</c:v>
                </c:pt>
              </c:strCache>
            </c:strRef>
          </c:cat>
          <c:val>
            <c:numRef>
              <c:f>[2024西南奶业大会定展明细.xlsx]Sheet2!$C$207:$C$214</c:f>
              <c:numCache>
                <c:formatCode>General</c:formatCode>
                <c:ptCount val="8"/>
                <c:pt idx="0">
                  <c:v>0.0174880763116057</c:v>
                </c:pt>
                <c:pt idx="1">
                  <c:v>0.0223635400105988</c:v>
                </c:pt>
                <c:pt idx="2">
                  <c:v>0.0385797562268151</c:v>
                </c:pt>
                <c:pt idx="3">
                  <c:v>0.280551139374669</c:v>
                </c:pt>
                <c:pt idx="4">
                  <c:v>0.449072602013778</c:v>
                </c:pt>
                <c:pt idx="5">
                  <c:v>0.152411234764176</c:v>
                </c:pt>
                <c:pt idx="6">
                  <c:v>0.010386857445681</c:v>
                </c:pt>
                <c:pt idx="7">
                  <c:v>0.0291467938526762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1315789473684"/>
          <c:y val="0.0821759259259259"/>
          <c:w val="0.322894736842105"/>
          <c:h val="0.892361111111111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 forceAA="0"/>
        <a:lstStyle/>
        <a:p>
          <a:pPr>
            <a:defRPr lang="zh-CN"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af87675a-5c9b-4f36-94ce-3814b38d1180}"/>
      </c:ext>
    </c:extLst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25.1">
    <a:dk1>
      <a:srgbClr val="000000"/>
    </a:dk1>
    <a:lt1>
      <a:srgbClr val="FFFFFF"/>
    </a:lt1>
    <a:dk2>
      <a:srgbClr val="000000"/>
    </a:dk2>
    <a:lt2>
      <a:srgbClr val="FFFFFF"/>
    </a:lt2>
    <a:accent1>
      <a:srgbClr val="FFE3BD"/>
    </a:accent1>
    <a:accent2>
      <a:srgbClr val="FFCCA9"/>
    </a:accent2>
    <a:accent3>
      <a:srgbClr val="FEAC92"/>
    </a:accent3>
    <a:accent4>
      <a:srgbClr val="69AF99"/>
    </a:accent4>
    <a:accent5>
      <a:srgbClr val="388C7D"/>
    </a:accent5>
    <a:accent6>
      <a:srgbClr val="14615E"/>
    </a:accent6>
    <a:hlink>
      <a:srgbClr val="F0B091"/>
    </a:hlink>
    <a:folHlink>
      <a:srgbClr val="B18B6F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1898</Words>
  <Characters>2222</Characters>
  <Lines>0</Lines>
  <Paragraphs>0</Paragraphs>
  <TotalTime>1</TotalTime>
  <ScaleCrop>false</ScaleCrop>
  <LinksUpToDate>false</LinksUpToDate>
  <CharactersWithSpaces>2291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2024-10-21T07:13:00Z</dcterms:created>
  <dc:creator>Administrator</dc:creator>
  <cp:lastModifiedBy>Lucy</cp:lastModifiedBy>
  <dcterms:modified xsi:type="dcterms:W3CDTF">2024-11-05T09:13:22Z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5A5EE5B0D11D4E99A78EBDB2667FEFF8_12</vt:lpwstr>
  </property>
</Properties>
</file>