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B216A">
      <w:pPr>
        <w:rPr>
          <w:rFonts w:hint="eastAsia"/>
          <w:b/>
          <w:bCs/>
          <w:sz w:val="52"/>
          <w:szCs w:val="60"/>
          <w:lang w:val="en-US" w:eastAsia="zh-CN"/>
        </w:rPr>
      </w:pPr>
      <w:r>
        <w:rPr>
          <w:rFonts w:hint="eastAsia"/>
          <w:b/>
          <w:bCs/>
          <w:sz w:val="52"/>
          <w:szCs w:val="6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-895350</wp:posOffset>
            </wp:positionV>
            <wp:extent cx="7579360" cy="2276475"/>
            <wp:effectExtent l="0" t="0" r="2540" b="9525"/>
            <wp:wrapNone/>
            <wp:docPr id="1" name="图片 1" descr="C:/Users/Administrator/Desktop/牛羊小图11.1.jpg牛羊小图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牛羊小图11.1.jpg牛羊小图11.1"/>
                    <pic:cNvPicPr>
                      <a:picLocks noChangeAspect="1"/>
                    </pic:cNvPicPr>
                  </pic:nvPicPr>
                  <pic:blipFill>
                    <a:blip r:embed="rId4"/>
                    <a:srcRect t="9274" b="9274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C8921">
      <w:pPr>
        <w:rPr>
          <w:rFonts w:hint="eastAsia"/>
          <w:b/>
          <w:bCs/>
          <w:sz w:val="52"/>
          <w:szCs w:val="60"/>
          <w:lang w:val="en-US" w:eastAsia="zh-CN"/>
        </w:rPr>
      </w:pPr>
    </w:p>
    <w:p w14:paraId="23079EC1">
      <w:pPr>
        <w:jc w:val="both"/>
        <w:rPr>
          <w:rFonts w:hint="eastAsia"/>
          <w:b/>
          <w:bCs/>
          <w:sz w:val="48"/>
          <w:szCs w:val="56"/>
          <w:lang w:val="en-US" w:eastAsia="zh-CN"/>
        </w:rPr>
      </w:pPr>
    </w:p>
    <w:p w14:paraId="5E3D52EC">
      <w:pPr>
        <w:spacing w:line="480" w:lineRule="auto"/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第七届牛羊产业（内蒙古）展览会</w:t>
      </w:r>
    </w:p>
    <w:p w14:paraId="528AF970">
      <w:pPr>
        <w:spacing w:line="480" w:lineRule="auto"/>
        <w:jc w:val="center"/>
        <w:rPr>
          <w:rFonts w:hint="eastAsia" w:ascii="宋体" w:hAnsi="宋体"/>
          <w:b/>
          <w:bCs/>
          <w:color w:val="3F3F3F"/>
          <w:sz w:val="22"/>
          <w:szCs w:val="22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2"/>
          <w:szCs w:val="22"/>
          <w:lang w:val="en-US" w:eastAsia="zh-CN"/>
        </w:rPr>
        <w:t>时间：</w:t>
      </w:r>
      <w:r>
        <w:rPr>
          <w:rFonts w:hint="eastAsia" w:ascii="宋体" w:hAnsi="宋体"/>
          <w:b/>
          <w:bCs/>
          <w:color w:val="3F3F3F"/>
          <w:sz w:val="22"/>
          <w:szCs w:val="22"/>
          <w:lang w:val="en-US" w:eastAsia="zh-CN"/>
        </w:rPr>
        <w:t>2025年3月22-24日      地点：呼和浩特敕勒川国际会展中心</w:t>
      </w:r>
    </w:p>
    <w:p w14:paraId="42524055"/>
    <w:p w14:paraId="5DB635E2">
      <w:pPr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</w:rPr>
        <w:t xml:space="preserve">内蒙古牛羊产业以其地大物博的优势正蓬勃发展，成为内蒙古的重要支柱产业。内蒙古作为我国重要的农畜产品生产基地，享有 “粮仓”“肉库”“奶罐” 等美誉。在这里，全国 5.7% 的粮食、15% 的牛羊肉、19% 的牛奶产自内蒙古。2023 年，内蒙古主要肉类产量 </w:t>
      </w:r>
      <w:r>
        <w:rPr>
          <w:rFonts w:hint="eastAsia" w:ascii="仿宋" w:hAnsi="仿宋" w:eastAsia="仿宋" w:cs="仿宋"/>
          <w:b/>
          <w:sz w:val="28"/>
        </w:rPr>
        <w:t>285.4 万吨</w:t>
      </w:r>
      <w:r>
        <w:rPr>
          <w:rFonts w:hint="eastAsia" w:ascii="仿宋" w:hAnsi="仿宋" w:eastAsia="仿宋" w:cs="仿宋"/>
          <w:sz w:val="28"/>
        </w:rPr>
        <w:t xml:space="preserve">、牛奶产量 </w:t>
      </w:r>
      <w:r>
        <w:rPr>
          <w:rFonts w:hint="eastAsia" w:ascii="仿宋" w:hAnsi="仿宋" w:eastAsia="仿宋" w:cs="仿宋"/>
          <w:b/>
          <w:sz w:val="28"/>
        </w:rPr>
        <w:t>792.6 万吨</w:t>
      </w:r>
      <w:r>
        <w:rPr>
          <w:rFonts w:hint="eastAsia" w:ascii="仿宋" w:hAnsi="仿宋" w:eastAsia="仿宋" w:cs="仿宋"/>
          <w:sz w:val="28"/>
        </w:rPr>
        <w:t>，牛羊肉产量均居</w:t>
      </w:r>
      <w:r>
        <w:rPr>
          <w:rFonts w:hint="eastAsia" w:ascii="仿宋" w:hAnsi="仿宋" w:eastAsia="仿宋" w:cs="仿宋"/>
          <w:b/>
          <w:sz w:val="28"/>
        </w:rPr>
        <w:t>全国第一</w:t>
      </w:r>
      <w:r>
        <w:rPr>
          <w:rFonts w:hint="eastAsia" w:ascii="仿宋" w:hAnsi="仿宋" w:eastAsia="仿宋" w:cs="仿宋"/>
          <w:sz w:val="28"/>
        </w:rPr>
        <w:t>，牛羊核心育种场数量更是保持</w:t>
      </w:r>
      <w:r>
        <w:rPr>
          <w:rFonts w:hint="eastAsia" w:ascii="仿宋" w:hAnsi="仿宋" w:eastAsia="仿宋" w:cs="仿宋"/>
          <w:b/>
          <w:sz w:val="28"/>
        </w:rPr>
        <w:t>全国首位</w:t>
      </w:r>
      <w:r>
        <w:rPr>
          <w:rFonts w:hint="eastAsia" w:ascii="仿宋" w:hAnsi="仿宋" w:eastAsia="仿宋" w:cs="仿宋"/>
          <w:sz w:val="28"/>
          <w:szCs w:val="36"/>
        </w:rPr>
        <w:t>。</w:t>
      </w:r>
    </w:p>
    <w:p w14:paraId="23C299D0">
      <w:pPr>
        <w:rPr>
          <w:rFonts w:hint="eastAsia" w:ascii="仿宋" w:hAnsi="仿宋" w:eastAsia="仿宋" w:cs="仿宋"/>
          <w:sz w:val="28"/>
          <w:szCs w:val="36"/>
        </w:rPr>
      </w:pPr>
    </w:p>
    <w:p w14:paraId="1071F17B">
      <w:pPr>
        <w:ind w:firstLine="560" w:firstLineChars="20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在高质量发展的时代背景下，牛羊产业的各方参与者在持续提升自身核心竞争力同时，正在以开放、共享、协同、创新的全新姿态打破传统，</w:t>
      </w:r>
      <w:r>
        <w:rPr>
          <w:rFonts w:hint="eastAsia" w:ascii="仿宋" w:hAnsi="仿宋" w:eastAsia="仿宋" w:cs="仿宋"/>
          <w:sz w:val="28"/>
          <w:szCs w:val="36"/>
        </w:rPr>
        <w:t>为了进一步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稳固</w:t>
      </w:r>
      <w:r>
        <w:rPr>
          <w:rFonts w:hint="eastAsia" w:ascii="仿宋" w:hAnsi="仿宋" w:eastAsia="仿宋" w:cs="仿宋"/>
          <w:sz w:val="28"/>
          <w:szCs w:val="36"/>
        </w:rPr>
        <w:t>内蒙古牛羊产业的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重要地位</w:t>
      </w:r>
      <w:r>
        <w:rPr>
          <w:rFonts w:hint="eastAsia" w:ascii="仿宋" w:hAnsi="仿宋" w:eastAsia="仿宋" w:cs="仿宋"/>
          <w:sz w:val="28"/>
          <w:szCs w:val="36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第七届牛羊产业（内蒙古）展览会于3月22-24日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在呼和浩特敕勒川国际会展中心召开，以安全创新为目标，集中</w:t>
      </w:r>
      <w:r>
        <w:rPr>
          <w:rFonts w:hint="eastAsia" w:ascii="仿宋" w:hAnsi="仿宋" w:eastAsia="仿宋" w:cs="仿宋"/>
          <w:sz w:val="28"/>
          <w:szCs w:val="36"/>
        </w:rPr>
        <w:t>展示最新的牛羊养殖技术、优良品种、加工屠宰设备、加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工</w:t>
      </w:r>
      <w:r>
        <w:rPr>
          <w:rFonts w:hint="eastAsia" w:ascii="仿宋" w:hAnsi="仿宋" w:eastAsia="仿宋" w:cs="仿宋"/>
          <w:sz w:val="28"/>
          <w:szCs w:val="36"/>
        </w:rPr>
        <w:t>包装机械、牛羊肉制品等全产业产业成果，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为牛羊产业搭建一个专业、务实的平台，为上下游企业获取更多合作资源及贸易往来。</w:t>
      </w:r>
    </w:p>
    <w:p w14:paraId="512DDC5C">
      <w:pPr>
        <w:ind w:firstLine="560" w:firstLineChars="200"/>
        <w:rPr>
          <w:rFonts w:hint="eastAsia" w:ascii="仿宋" w:hAnsi="仿宋" w:eastAsia="仿宋" w:cs="仿宋"/>
          <w:sz w:val="28"/>
          <w:szCs w:val="36"/>
          <w:lang w:val="en-US" w:eastAsia="zh-CN"/>
        </w:rPr>
      </w:pPr>
    </w:p>
    <w:p w14:paraId="129592FA">
      <w:pPr>
        <w:keepNext w:val="0"/>
        <w:keepLines w:val="0"/>
        <w:pageBreakBefore w:val="0"/>
        <w:widowControl w:val="0"/>
        <w:pBdr>
          <w:top w:val="none" w:color="000000" w:sz="0" w:space="1"/>
          <w:left w:val="none" w:color="000000" w:sz="0" w:space="4"/>
          <w:bottom w:val="none" w:color="000000" w:sz="0" w:space="1"/>
          <w:right w:val="none" w:color="000000" w:sz="0" w:space="4"/>
          <w:between w:val="none" w:color="000000" w:sz="0" w:space="0"/>
        </w:pBdr>
        <w:kinsoku/>
        <w:wordWrap/>
        <w:overflowPunct/>
        <w:topLinePunct w:val="0"/>
        <w:autoSpaceDE/>
        <w:autoSpaceDN/>
        <w:bidi w:val="0"/>
        <w:snapToGrid/>
        <w:spacing w:line="420" w:lineRule="exact"/>
        <w:jc w:val="left"/>
        <w:outlineLvl w:val="9"/>
        <w:rPr>
          <w:rFonts w:hint="eastAsia" w:ascii="微软雅黑" w:hAnsi="微软雅黑" w:eastAsia="微软雅黑"/>
          <w:b/>
          <w:color w:val="00B0F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/>
          <w:b/>
          <w:color w:val="00B0F0"/>
          <w:kern w:val="2"/>
          <w:sz w:val="28"/>
          <w:szCs w:val="28"/>
          <w:lang w:val="en-US" w:eastAsia="zh-CN" w:bidi="ar-SA"/>
        </w:rPr>
        <w:t>【组织机构】</w:t>
      </w:r>
    </w:p>
    <w:p w14:paraId="783B74B5">
      <w:pPr>
        <w:rPr>
          <w:rFonts w:hint="eastAsia" w:ascii="WPS灵秀黑" w:hAnsi="WPS灵秀黑" w:eastAsia="WPS灵秀黑" w:cs="WPS灵秀黑"/>
          <w:lang w:val="en-US" w:eastAsia="zh-CN"/>
        </w:rPr>
      </w:pPr>
      <w:r>
        <w:rPr>
          <w:rFonts w:hint="eastAsia" w:ascii="WPS灵秀黑" w:hAnsi="WPS灵秀黑" w:eastAsia="WPS灵秀黑" w:cs="WPS灵秀黑"/>
          <w:b w:val="0"/>
          <w:bCs w:val="0"/>
        </w:rPr>
        <w:t>主办单位：</w:t>
      </w:r>
      <w:r>
        <w:rPr>
          <w:rFonts w:hint="eastAsia" w:ascii="WPS灵秀黑" w:hAnsi="WPS灵秀黑" w:eastAsia="WPS灵秀黑" w:cs="WPS灵秀黑"/>
          <w:lang w:eastAsia="zh-CN"/>
        </w:rPr>
        <w:t>内蒙古农牧业产业化龙头企业协会</w:t>
      </w:r>
    </w:p>
    <w:p w14:paraId="60796755">
      <w:pPr>
        <w:rPr>
          <w:rFonts w:hint="eastAsia" w:ascii="WPS灵秀黑" w:hAnsi="WPS灵秀黑" w:eastAsia="WPS灵秀黑" w:cs="WPS灵秀黑"/>
          <w:lang w:val="en-US" w:eastAsia="zh-CN"/>
        </w:rPr>
      </w:pPr>
      <w:r>
        <w:rPr>
          <w:rFonts w:hint="eastAsia" w:ascii="WPS灵秀黑" w:hAnsi="WPS灵秀黑" w:eastAsia="WPS灵秀黑" w:cs="WPS灵秀黑"/>
          <w:lang w:val="en-US" w:eastAsia="zh-CN"/>
        </w:rPr>
        <w:t xml:space="preserve">          内蒙古畜博会展服务有限公司 </w:t>
      </w:r>
    </w:p>
    <w:p w14:paraId="54E8A794">
      <w:pPr>
        <w:rPr>
          <w:rFonts w:hint="eastAsia" w:ascii="WPS灵秀黑" w:hAnsi="WPS灵秀黑" w:eastAsia="WPS灵秀黑" w:cs="WPS灵秀黑"/>
          <w:lang w:eastAsia="zh-CN"/>
        </w:rPr>
      </w:pPr>
      <w:r>
        <w:rPr>
          <w:rFonts w:hint="eastAsia" w:ascii="WPS灵秀黑" w:hAnsi="WPS灵秀黑" w:eastAsia="WPS灵秀黑" w:cs="WPS灵秀黑"/>
          <w:lang w:val="en-US" w:eastAsia="zh-CN"/>
        </w:rPr>
        <w:t xml:space="preserve">          </w:t>
      </w:r>
      <w:r>
        <w:rPr>
          <w:rFonts w:hint="eastAsia" w:ascii="WPS灵秀黑" w:hAnsi="WPS灵秀黑" w:eastAsia="WPS灵秀黑" w:cs="WPS灵秀黑"/>
        </w:rPr>
        <w:t>艾克思博国际会展</w:t>
      </w:r>
      <w:r>
        <w:rPr>
          <w:rFonts w:hint="eastAsia" w:ascii="WPS灵秀黑" w:hAnsi="WPS灵秀黑" w:eastAsia="WPS灵秀黑" w:cs="WPS灵秀黑"/>
          <w:lang w:eastAsia="zh-CN"/>
        </w:rPr>
        <w:t>（内蒙古）集团有限公司</w:t>
      </w:r>
    </w:p>
    <w:p w14:paraId="6028D541">
      <w:pPr>
        <w:rPr>
          <w:rFonts w:hint="eastAsia" w:ascii="微软雅黑" w:hAnsi="微软雅黑" w:eastAsia="微软雅黑"/>
          <w:b/>
          <w:color w:val="00B0F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>【会议日程】</w:t>
      </w:r>
    </w:p>
    <w:p w14:paraId="3F93A7F9">
      <w:pPr>
        <w:rPr>
          <w:rFonts w:hint="eastAsia" w:ascii="WPS灵秀黑" w:hAnsi="WPS灵秀黑" w:eastAsia="WPS灵秀黑" w:cs="WPS灵秀黑"/>
        </w:rPr>
      </w:pPr>
      <w:r>
        <w:rPr>
          <w:rFonts w:hint="eastAsia" w:ascii="WPS灵秀黑" w:hAnsi="WPS灵秀黑" w:eastAsia="WPS灵秀黑" w:cs="WPS灵秀黑"/>
          <w:b w:val="0"/>
          <w:bCs w:val="0"/>
        </w:rPr>
        <w:t>展览地点：</w:t>
      </w:r>
      <w:r>
        <w:rPr>
          <w:rFonts w:hint="eastAsia" w:ascii="WPS灵秀黑" w:hAnsi="WPS灵秀黑" w:eastAsia="WPS灵秀黑" w:cs="WPS灵秀黑"/>
          <w:lang w:eastAsia="zh-CN"/>
        </w:rPr>
        <w:t>呼和浩特敕勒川国际会展中心</w:t>
      </w:r>
      <w:r>
        <w:rPr>
          <w:rFonts w:hint="eastAsia" w:ascii="WPS灵秀黑" w:hAnsi="WPS灵秀黑" w:eastAsia="WPS灵秀黑" w:cs="WPS灵秀黑"/>
          <w:lang w:val="en-US" w:eastAsia="zh-CN"/>
        </w:rPr>
        <w:t xml:space="preserve"> （呼和浩特新城区保合少镇恼包村）</w:t>
      </w:r>
    </w:p>
    <w:p w14:paraId="1C2A9962">
      <w:pPr>
        <w:rPr>
          <w:rFonts w:hint="eastAsia" w:ascii="WPS灵秀黑" w:hAnsi="WPS灵秀黑" w:eastAsia="WPS灵秀黑" w:cs="WPS灵秀黑"/>
        </w:rPr>
      </w:pPr>
      <w:r>
        <w:rPr>
          <w:rFonts w:hint="eastAsia" w:ascii="WPS灵秀黑" w:hAnsi="WPS灵秀黑" w:eastAsia="WPS灵秀黑" w:cs="WPS灵秀黑"/>
        </w:rPr>
        <w:t>布展时间：20</w:t>
      </w:r>
      <w:r>
        <w:rPr>
          <w:rFonts w:hint="eastAsia" w:ascii="WPS灵秀黑" w:hAnsi="WPS灵秀黑" w:eastAsia="WPS灵秀黑" w:cs="WPS灵秀黑"/>
          <w:lang w:val="en-US" w:eastAsia="zh-CN"/>
        </w:rPr>
        <w:t>25</w:t>
      </w:r>
      <w:r>
        <w:rPr>
          <w:rFonts w:hint="eastAsia" w:ascii="WPS灵秀黑" w:hAnsi="WPS灵秀黑" w:eastAsia="WPS灵秀黑" w:cs="WPS灵秀黑"/>
        </w:rPr>
        <w:t>年</w:t>
      </w:r>
      <w:r>
        <w:rPr>
          <w:rFonts w:hint="eastAsia" w:ascii="WPS灵秀黑" w:hAnsi="WPS灵秀黑" w:eastAsia="WPS灵秀黑" w:cs="WPS灵秀黑"/>
          <w:lang w:val="en-US" w:eastAsia="zh-CN"/>
        </w:rPr>
        <w:t>3</w:t>
      </w:r>
      <w:r>
        <w:rPr>
          <w:rFonts w:hint="eastAsia" w:ascii="WPS灵秀黑" w:hAnsi="WPS灵秀黑" w:eastAsia="WPS灵秀黑" w:cs="WPS灵秀黑"/>
        </w:rPr>
        <w:t>月</w:t>
      </w:r>
      <w:r>
        <w:rPr>
          <w:rFonts w:hint="eastAsia" w:ascii="WPS灵秀黑" w:hAnsi="WPS灵秀黑" w:eastAsia="WPS灵秀黑" w:cs="WPS灵秀黑"/>
          <w:lang w:val="en-US" w:eastAsia="zh-CN"/>
        </w:rPr>
        <w:t>20</w:t>
      </w:r>
      <w:r>
        <w:rPr>
          <w:rFonts w:hint="eastAsia" w:ascii="WPS灵秀黑" w:hAnsi="WPS灵秀黑" w:eastAsia="WPS灵秀黑" w:cs="WPS灵秀黑"/>
        </w:rPr>
        <w:t>—</w:t>
      </w:r>
      <w:r>
        <w:rPr>
          <w:rFonts w:hint="eastAsia" w:ascii="WPS灵秀黑" w:hAnsi="WPS灵秀黑" w:eastAsia="WPS灵秀黑" w:cs="WPS灵秀黑"/>
          <w:lang w:val="en-US" w:eastAsia="zh-CN"/>
        </w:rPr>
        <w:t>21</w:t>
      </w:r>
      <w:r>
        <w:rPr>
          <w:rFonts w:hint="eastAsia" w:ascii="WPS灵秀黑" w:hAnsi="WPS灵秀黑" w:eastAsia="WPS灵秀黑" w:cs="WPS灵秀黑"/>
        </w:rPr>
        <w:t>日（09：00-17:00）</w:t>
      </w:r>
    </w:p>
    <w:p w14:paraId="64B1F40A">
      <w:pPr>
        <w:rPr>
          <w:rFonts w:hint="eastAsia" w:ascii="WPS灵秀黑" w:hAnsi="WPS灵秀黑" w:eastAsia="WPS灵秀黑" w:cs="WPS灵秀黑"/>
          <w:lang w:val="en-US" w:eastAsia="zh-CN"/>
        </w:rPr>
      </w:pPr>
      <w:r>
        <w:rPr>
          <w:rFonts w:hint="eastAsia" w:ascii="WPS灵秀黑" w:hAnsi="WPS灵秀黑" w:eastAsia="WPS灵秀黑" w:cs="WPS灵秀黑"/>
        </w:rPr>
        <w:t>展出时间：20</w:t>
      </w:r>
      <w:r>
        <w:rPr>
          <w:rFonts w:hint="eastAsia" w:ascii="WPS灵秀黑" w:hAnsi="WPS灵秀黑" w:eastAsia="WPS灵秀黑" w:cs="WPS灵秀黑"/>
          <w:lang w:val="en-US" w:eastAsia="zh-CN"/>
        </w:rPr>
        <w:t>25</w:t>
      </w:r>
      <w:r>
        <w:rPr>
          <w:rFonts w:hint="eastAsia" w:ascii="WPS灵秀黑" w:hAnsi="WPS灵秀黑" w:eastAsia="WPS灵秀黑" w:cs="WPS灵秀黑"/>
        </w:rPr>
        <w:t>年</w:t>
      </w:r>
      <w:r>
        <w:rPr>
          <w:rFonts w:hint="eastAsia" w:ascii="WPS灵秀黑" w:hAnsi="WPS灵秀黑" w:eastAsia="WPS灵秀黑" w:cs="WPS灵秀黑"/>
          <w:lang w:val="en-US" w:eastAsia="zh-CN"/>
        </w:rPr>
        <w:t>3</w:t>
      </w:r>
      <w:r>
        <w:rPr>
          <w:rFonts w:hint="eastAsia" w:ascii="WPS灵秀黑" w:hAnsi="WPS灵秀黑" w:eastAsia="WPS灵秀黑" w:cs="WPS灵秀黑"/>
        </w:rPr>
        <w:t>月</w:t>
      </w:r>
      <w:r>
        <w:rPr>
          <w:rFonts w:hint="eastAsia" w:ascii="WPS灵秀黑" w:hAnsi="WPS灵秀黑" w:eastAsia="WPS灵秀黑" w:cs="WPS灵秀黑"/>
          <w:lang w:val="en-US" w:eastAsia="zh-CN"/>
        </w:rPr>
        <w:t>22</w:t>
      </w:r>
      <w:r>
        <w:rPr>
          <w:rFonts w:hint="eastAsia" w:ascii="WPS灵秀黑" w:hAnsi="WPS灵秀黑" w:eastAsia="WPS灵秀黑" w:cs="WPS灵秀黑"/>
        </w:rPr>
        <w:t>—</w:t>
      </w:r>
      <w:r>
        <w:rPr>
          <w:rFonts w:hint="eastAsia" w:ascii="WPS灵秀黑" w:hAnsi="WPS灵秀黑" w:eastAsia="WPS灵秀黑" w:cs="WPS灵秀黑"/>
          <w:lang w:val="en-US" w:eastAsia="zh-CN"/>
        </w:rPr>
        <w:t>23</w:t>
      </w:r>
      <w:r>
        <w:rPr>
          <w:rFonts w:hint="eastAsia" w:ascii="WPS灵秀黑" w:hAnsi="WPS灵秀黑" w:eastAsia="WPS灵秀黑" w:cs="WPS灵秀黑"/>
        </w:rPr>
        <w:t>日（09：00-17:00）</w:t>
      </w:r>
    </w:p>
    <w:p w14:paraId="6E675BA8">
      <w:pPr>
        <w:rPr>
          <w:rFonts w:hint="eastAsia" w:ascii="WPS灵秀黑" w:hAnsi="WPS灵秀黑" w:eastAsia="WPS灵秀黑" w:cs="WPS灵秀黑"/>
        </w:rPr>
      </w:pPr>
      <w:r>
        <w:rPr>
          <w:rFonts w:hint="eastAsia" w:ascii="WPS灵秀黑" w:hAnsi="WPS灵秀黑" w:eastAsia="WPS灵秀黑" w:cs="WPS灵秀黑"/>
          <w:lang w:val="en-US" w:eastAsia="zh-CN"/>
        </w:rPr>
        <w:t xml:space="preserve">          </w:t>
      </w:r>
      <w:r>
        <w:rPr>
          <w:rFonts w:hint="eastAsia" w:ascii="WPS灵秀黑" w:hAnsi="WPS灵秀黑" w:eastAsia="WPS灵秀黑" w:cs="WPS灵秀黑"/>
        </w:rPr>
        <w:t>20</w:t>
      </w:r>
      <w:r>
        <w:rPr>
          <w:rFonts w:hint="eastAsia" w:ascii="WPS灵秀黑" w:hAnsi="WPS灵秀黑" w:eastAsia="WPS灵秀黑" w:cs="WPS灵秀黑"/>
          <w:lang w:val="en-US" w:eastAsia="zh-CN"/>
        </w:rPr>
        <w:t>25</w:t>
      </w:r>
      <w:r>
        <w:rPr>
          <w:rFonts w:hint="eastAsia" w:ascii="WPS灵秀黑" w:hAnsi="WPS灵秀黑" w:eastAsia="WPS灵秀黑" w:cs="WPS灵秀黑"/>
        </w:rPr>
        <w:t>年</w:t>
      </w:r>
      <w:r>
        <w:rPr>
          <w:rFonts w:hint="eastAsia" w:ascii="WPS灵秀黑" w:hAnsi="WPS灵秀黑" w:eastAsia="WPS灵秀黑" w:cs="WPS灵秀黑"/>
          <w:lang w:val="en-US" w:eastAsia="zh-CN"/>
        </w:rPr>
        <w:t>3</w:t>
      </w:r>
      <w:r>
        <w:rPr>
          <w:rFonts w:hint="eastAsia" w:ascii="WPS灵秀黑" w:hAnsi="WPS灵秀黑" w:eastAsia="WPS灵秀黑" w:cs="WPS灵秀黑"/>
        </w:rPr>
        <w:t>月</w:t>
      </w:r>
      <w:r>
        <w:rPr>
          <w:rFonts w:hint="eastAsia" w:ascii="WPS灵秀黑" w:hAnsi="WPS灵秀黑" w:eastAsia="WPS灵秀黑" w:cs="WPS灵秀黑"/>
          <w:lang w:val="en-US" w:eastAsia="zh-CN"/>
        </w:rPr>
        <w:t>24</w:t>
      </w:r>
      <w:r>
        <w:rPr>
          <w:rFonts w:hint="eastAsia" w:ascii="WPS灵秀黑" w:hAnsi="WPS灵秀黑" w:eastAsia="WPS灵秀黑" w:cs="WPS灵秀黑"/>
        </w:rPr>
        <w:t>日（09:00-12:00）</w:t>
      </w:r>
    </w:p>
    <w:p w14:paraId="66EE3906">
      <w:pPr>
        <w:rPr>
          <w:rFonts w:hint="eastAsia" w:ascii="WPS灵秀黑" w:hAnsi="WPS灵秀黑" w:eastAsia="WPS灵秀黑" w:cs="WPS灵秀黑"/>
        </w:rPr>
      </w:pPr>
      <w:r>
        <w:rPr>
          <w:rFonts w:hint="eastAsia" w:ascii="WPS灵秀黑" w:hAnsi="WPS灵秀黑" w:eastAsia="WPS灵秀黑" w:cs="WPS灵秀黑"/>
        </w:rPr>
        <w:t>撤展时间：20</w:t>
      </w:r>
      <w:r>
        <w:rPr>
          <w:rFonts w:hint="eastAsia" w:ascii="WPS灵秀黑" w:hAnsi="WPS灵秀黑" w:eastAsia="WPS灵秀黑" w:cs="WPS灵秀黑"/>
          <w:lang w:val="en-US" w:eastAsia="zh-CN"/>
        </w:rPr>
        <w:t>25</w:t>
      </w:r>
      <w:r>
        <w:rPr>
          <w:rFonts w:hint="eastAsia" w:ascii="WPS灵秀黑" w:hAnsi="WPS灵秀黑" w:eastAsia="WPS灵秀黑" w:cs="WPS灵秀黑"/>
        </w:rPr>
        <w:t>年</w:t>
      </w:r>
      <w:r>
        <w:rPr>
          <w:rFonts w:hint="eastAsia" w:ascii="WPS灵秀黑" w:hAnsi="WPS灵秀黑" w:eastAsia="WPS灵秀黑" w:cs="WPS灵秀黑"/>
          <w:lang w:val="en-US" w:eastAsia="zh-CN"/>
        </w:rPr>
        <w:t>3月24</w:t>
      </w:r>
      <w:r>
        <w:rPr>
          <w:rFonts w:hint="eastAsia" w:ascii="WPS灵秀黑" w:hAnsi="WPS灵秀黑" w:eastAsia="WPS灵秀黑" w:cs="WPS灵秀黑"/>
        </w:rPr>
        <w:t>日（12:00-17:00）</w:t>
      </w:r>
    </w:p>
    <w:p w14:paraId="0A03BF23">
      <w:pPr>
        <w:rPr>
          <w:rFonts w:hint="eastAsia" w:ascii="微软雅黑" w:hAnsi="微软雅黑" w:eastAsia="微软雅黑"/>
          <w:b/>
          <w:color w:val="00B0F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>【</w:t>
      </w:r>
      <w:r>
        <w:rPr>
          <w:rFonts w:hint="eastAsia" w:ascii="微软雅黑" w:hAnsi="微软雅黑" w:eastAsia="微软雅黑"/>
          <w:b/>
          <w:color w:val="00B0F0"/>
          <w:sz w:val="28"/>
          <w:szCs w:val="28"/>
          <w:lang w:val="en-US" w:eastAsia="zh-CN"/>
        </w:rPr>
        <w:t>上届回顾</w:t>
      </w: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>】</w:t>
      </w:r>
    </w:p>
    <w:p w14:paraId="557BB758">
      <w:pPr>
        <w:rPr>
          <w:rFonts w:hint="eastAsia" w:ascii="WPS灵秀黑" w:hAnsi="WPS灵秀黑" w:eastAsia="WPS灵秀黑" w:cs="WPS灵秀黑"/>
          <w:lang w:val="en-US" w:eastAsia="zh-CN"/>
        </w:rPr>
      </w:pPr>
      <w:r>
        <w:rPr>
          <w:rFonts w:hint="eastAsia" w:ascii="WPS灵秀黑" w:hAnsi="WPS灵秀黑" w:eastAsia="WPS灵秀黑" w:cs="WPS灵秀黑"/>
          <w:lang w:val="en-US" w:eastAsia="zh-CN"/>
        </w:rPr>
        <w:t>2024第六届牛羊产业展览会，在成都天府农业博览园召开，展览面积10000平方米，挪威红牛、好力旺、美西动力、英美尔、云扬智能、华诚睿光、鑫悦智能、恒天然、澳龙、吉峰、郁金香、西域晨光、金华恒宇、浙江益乐等211家知名牛羊产业相关企业参展。展商满意度为95％，观众满意度98％。</w:t>
      </w:r>
    </w:p>
    <w:p w14:paraId="1F7530FB">
      <w:pPr>
        <w:rPr>
          <w:rFonts w:hint="eastAsia" w:ascii="WPS灵秀黑" w:hAnsi="WPS灵秀黑" w:eastAsia="WPS灵秀黑" w:cs="WPS灵秀黑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24765</wp:posOffset>
            </wp:positionV>
            <wp:extent cx="5664835" cy="3014980"/>
            <wp:effectExtent l="0" t="0" r="12065" b="1397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7AFB0B">
      <w:pPr>
        <w:rPr>
          <w:rFonts w:hint="eastAsia" w:ascii="WPS灵秀黑" w:hAnsi="WPS灵秀黑" w:eastAsia="WPS灵秀黑" w:cs="WPS灵秀黑"/>
          <w:lang w:val="en-US" w:eastAsia="zh-CN"/>
        </w:rPr>
      </w:pPr>
    </w:p>
    <w:p w14:paraId="00045504">
      <w:pPr>
        <w:rPr>
          <w:rFonts w:hint="eastAsia" w:ascii="WPS灵秀黑" w:hAnsi="WPS灵秀黑" w:eastAsia="WPS灵秀黑" w:cs="WPS灵秀黑"/>
          <w:lang w:val="en-US" w:eastAsia="zh-CN"/>
        </w:rPr>
      </w:pPr>
    </w:p>
    <w:p w14:paraId="723FC7D5">
      <w:pPr>
        <w:rPr>
          <w:rFonts w:hint="eastAsia" w:ascii="WPS灵秀黑" w:hAnsi="WPS灵秀黑" w:eastAsia="WPS灵秀黑" w:cs="WPS灵秀黑"/>
          <w:lang w:val="en-US" w:eastAsia="zh-CN"/>
        </w:rPr>
      </w:pPr>
    </w:p>
    <w:p w14:paraId="78CC75EA">
      <w:pPr>
        <w:rPr>
          <w:rFonts w:hint="eastAsia" w:ascii="WPS灵秀黑" w:hAnsi="WPS灵秀黑" w:eastAsia="WPS灵秀黑" w:cs="WPS灵秀黑"/>
          <w:lang w:val="en-US" w:eastAsia="zh-CN"/>
        </w:rPr>
      </w:pPr>
    </w:p>
    <w:p w14:paraId="11090D8D">
      <w:pPr>
        <w:rPr>
          <w:rFonts w:hint="eastAsia" w:ascii="WPS灵秀黑" w:hAnsi="WPS灵秀黑" w:eastAsia="WPS灵秀黑" w:cs="WPS灵秀黑"/>
          <w:lang w:val="en-US" w:eastAsia="zh-CN"/>
        </w:rPr>
      </w:pPr>
    </w:p>
    <w:p w14:paraId="7D44A816">
      <w:pPr>
        <w:rPr>
          <w:rFonts w:hint="eastAsia" w:ascii="WPS灵秀黑" w:hAnsi="WPS灵秀黑" w:eastAsia="WPS灵秀黑" w:cs="WPS灵秀黑"/>
          <w:lang w:val="en-US" w:eastAsia="zh-CN"/>
        </w:rPr>
      </w:pPr>
    </w:p>
    <w:p w14:paraId="305D91D8">
      <w:pPr>
        <w:rPr>
          <w:rFonts w:hint="eastAsia" w:ascii="WPS灵秀黑" w:hAnsi="WPS灵秀黑" w:eastAsia="WPS灵秀黑" w:cs="WPS灵秀黑"/>
          <w:lang w:val="en-US" w:eastAsia="zh-CN"/>
        </w:rPr>
      </w:pPr>
      <w:r>
        <w:rPr>
          <w:rFonts w:hint="default" w:ascii="微软雅黑" w:hAnsi="微软雅黑" w:eastAsia="微软雅黑"/>
          <w:b/>
          <w:color w:val="00B0F0"/>
          <w:kern w:val="2"/>
          <w:sz w:val="28"/>
          <w:szCs w:val="28"/>
          <w:lang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-234950</wp:posOffset>
            </wp:positionV>
            <wp:extent cx="6229985" cy="3476625"/>
            <wp:effectExtent l="0" t="0" r="18415" b="9525"/>
            <wp:wrapNone/>
            <wp:docPr id="5" name="图片 5" descr="牛羊邀请函历届参展企业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牛羊邀请函历届参展企业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31885">
      <w:pPr>
        <w:rPr>
          <w:rFonts w:hint="eastAsia"/>
          <w:lang w:val="en-US" w:eastAsia="zh-CN"/>
        </w:rPr>
      </w:pPr>
    </w:p>
    <w:p w14:paraId="333B06B3">
      <w:pPr>
        <w:rPr>
          <w:rFonts w:hint="eastAsia"/>
          <w:lang w:val="en-US" w:eastAsia="zh-CN"/>
        </w:rPr>
      </w:pPr>
    </w:p>
    <w:p w14:paraId="59C47A31">
      <w:pPr>
        <w:rPr>
          <w:rFonts w:hint="eastAsia"/>
          <w:lang w:val="en-US" w:eastAsia="zh-CN"/>
        </w:rPr>
      </w:pPr>
    </w:p>
    <w:p w14:paraId="0E36A03A">
      <w:pPr>
        <w:rPr>
          <w:rFonts w:hint="eastAsia"/>
          <w:lang w:val="en-US" w:eastAsia="zh-CN"/>
        </w:rPr>
      </w:pPr>
    </w:p>
    <w:p w14:paraId="594CEEBB">
      <w:pPr>
        <w:rPr>
          <w:rFonts w:hint="eastAsia"/>
          <w:lang w:val="en-US" w:eastAsia="zh-CN"/>
        </w:rPr>
      </w:pPr>
    </w:p>
    <w:p w14:paraId="4C490DF1">
      <w:pPr>
        <w:rPr>
          <w:rFonts w:hint="eastAsia"/>
          <w:lang w:val="en-US" w:eastAsia="zh-CN"/>
        </w:rPr>
      </w:pPr>
    </w:p>
    <w:p w14:paraId="78293A2E">
      <w:pPr>
        <w:rPr>
          <w:rFonts w:hint="eastAsia"/>
          <w:lang w:val="en-US" w:eastAsia="zh-CN"/>
        </w:rPr>
      </w:pPr>
    </w:p>
    <w:p w14:paraId="79AB2E9F">
      <w:pPr>
        <w:rPr>
          <w:rFonts w:hint="eastAsia"/>
          <w:lang w:val="en-US" w:eastAsia="zh-CN"/>
        </w:rPr>
      </w:pPr>
    </w:p>
    <w:p w14:paraId="67A117AC">
      <w:pPr>
        <w:rPr>
          <w:rFonts w:hint="eastAsia"/>
          <w:lang w:val="en-US" w:eastAsia="zh-CN"/>
        </w:rPr>
      </w:pPr>
    </w:p>
    <w:p w14:paraId="50DB2414">
      <w:pPr>
        <w:rPr>
          <w:rFonts w:hint="eastAsia"/>
          <w:lang w:val="en-US" w:eastAsia="zh-CN"/>
        </w:rPr>
      </w:pPr>
    </w:p>
    <w:p w14:paraId="4AF25F6A">
      <w:pPr>
        <w:rPr>
          <w:rFonts w:hint="eastAsia"/>
          <w:lang w:val="en-US" w:eastAsia="zh-CN"/>
        </w:rPr>
      </w:pPr>
    </w:p>
    <w:p w14:paraId="648323CD">
      <w:pPr>
        <w:rPr>
          <w:rFonts w:hint="eastAsia"/>
          <w:lang w:val="en-US" w:eastAsia="zh-CN"/>
        </w:rPr>
      </w:pPr>
    </w:p>
    <w:p w14:paraId="618B8A58">
      <w:pPr>
        <w:rPr>
          <w:rFonts w:hint="eastAsia"/>
          <w:lang w:val="en-US" w:eastAsia="zh-CN"/>
        </w:rPr>
      </w:pPr>
    </w:p>
    <w:p w14:paraId="04BD4F67">
      <w:pPr>
        <w:keepNext w:val="0"/>
        <w:keepLines w:val="0"/>
        <w:pageBreakBefore w:val="0"/>
        <w:widowControl w:val="0"/>
        <w:pBdr>
          <w:top w:val="none" w:color="000000" w:sz="0" w:space="1"/>
          <w:left w:val="none" w:color="000000" w:sz="0" w:space="4"/>
          <w:bottom w:val="none" w:color="000000" w:sz="0" w:space="1"/>
          <w:right w:val="none" w:color="000000" w:sz="0" w:space="4"/>
          <w:between w:val="none" w:color="000000" w:sz="0" w:space="0"/>
        </w:pBdr>
        <w:kinsoku/>
        <w:wordWrap/>
        <w:overflowPunct/>
        <w:topLinePunct w:val="0"/>
        <w:autoSpaceDE/>
        <w:autoSpaceDN/>
        <w:bidi w:val="0"/>
        <w:snapToGrid/>
        <w:spacing w:line="420" w:lineRule="exact"/>
        <w:jc w:val="left"/>
        <w:outlineLvl w:val="9"/>
        <w:rPr>
          <w:rFonts w:hint="eastAsia" w:ascii="微软雅黑" w:hAnsi="微软雅黑" w:eastAsia="微软雅黑"/>
          <w:b/>
          <w:color w:val="00B0F0"/>
          <w:kern w:val="2"/>
          <w:sz w:val="28"/>
          <w:szCs w:val="28"/>
          <w:lang w:val="en-US" w:eastAsia="zh-CN" w:bidi="ar-SA"/>
        </w:rPr>
      </w:pPr>
    </w:p>
    <w:p w14:paraId="1A73680D">
      <w:pPr>
        <w:rPr>
          <w:rFonts w:hint="default" w:ascii="微软雅黑" w:hAnsi="微软雅黑" w:eastAsia="微软雅黑"/>
          <w:b/>
          <w:color w:val="00B0F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  <w:lang w:val="en-US" w:eastAsia="zh-CN"/>
        </w:rPr>
        <w:t>品牌加持 影响力强</w:t>
      </w:r>
    </w:p>
    <w:p w14:paraId="1F90BD13">
      <w:pPr>
        <w:rPr>
          <w:rFonts w:hint="eastAsia" w:ascii="汉仪君黑-45简" w:hAnsi="汉仪君黑-45简" w:eastAsia="汉仪君黑-45简" w:cs="汉仪君黑-45简"/>
          <w:lang w:val="en-US" w:eastAsia="zh-CN"/>
        </w:rPr>
      </w:pPr>
      <w:r>
        <w:rPr>
          <w:rFonts w:hint="eastAsia" w:ascii="汉仪君黑-45简" w:hAnsi="汉仪君黑-45简" w:eastAsia="汉仪君黑-45简" w:cs="汉仪君黑-45简"/>
          <w:lang w:val="en-US" w:eastAsia="zh-CN"/>
        </w:rPr>
        <w:t>第七届牛羊产业（内蒙古）展览会迄今已成功举办六届，历经多年的积累和沉淀，已发展成为全国极具影响力品牌的牛羊展会，拥有牛羊专业观众数据20余万条，依托专业化配套运营服务，旨在帮助展商精准把握市场动向，通过全方位、深层次的交流，搭建商贸配对，互助合作的广阔平台，为牛羊相关企业提供更完善的一站式采购解决方案。</w:t>
      </w:r>
    </w:p>
    <w:p w14:paraId="1B4DCFA1">
      <w:pPr>
        <w:rPr>
          <w:rFonts w:hint="eastAsia" w:ascii="微软雅黑" w:hAnsi="微软雅黑" w:eastAsia="微软雅黑"/>
          <w:b/>
          <w:color w:val="00B0F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  <w:lang w:val="en-US" w:eastAsia="zh-CN"/>
        </w:rPr>
        <w:t>地域优势 抢占红利</w:t>
      </w:r>
    </w:p>
    <w:p w14:paraId="5800A94D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</w:rPr>
        <w:t>内蒙古作为我国关键的农畜产品生产基地，牛羊产业</w:t>
      </w:r>
      <w:r>
        <w:rPr>
          <w:rFonts w:hint="eastAsia" w:ascii="汉仪君黑-45简" w:hAnsi="汉仪君黑-45简" w:eastAsia="汉仪君黑-45简" w:cs="汉仪君黑-45简"/>
          <w:lang w:val="en-US" w:eastAsia="zh-CN"/>
        </w:rPr>
        <w:t>一直在</w:t>
      </w:r>
      <w:r>
        <w:rPr>
          <w:rFonts w:hint="eastAsia" w:ascii="汉仪君黑-45简" w:hAnsi="汉仪君黑-45简" w:eastAsia="汉仪君黑-45简" w:cs="汉仪君黑-45简"/>
        </w:rPr>
        <w:t>经济发展中占据着</w:t>
      </w:r>
      <w:r>
        <w:rPr>
          <w:rFonts w:hint="eastAsia" w:ascii="汉仪君黑-45简" w:hAnsi="汉仪君黑-45简" w:eastAsia="汉仪君黑-45简" w:cs="汉仪君黑-45简"/>
          <w:lang w:val="en-US" w:eastAsia="zh-CN"/>
        </w:rPr>
        <w:t>重</w:t>
      </w:r>
      <w:r>
        <w:rPr>
          <w:rFonts w:hint="eastAsia" w:ascii="汉仪君黑-45简" w:hAnsi="汉仪君黑-45简" w:eastAsia="汉仪君黑-45简" w:cs="汉仪君黑-45简"/>
        </w:rPr>
        <w:t>要</w:t>
      </w:r>
      <w:r>
        <w:rPr>
          <w:rFonts w:hint="eastAsia" w:ascii="汉仪君黑-45简" w:hAnsi="汉仪君黑-45简" w:eastAsia="汉仪君黑-45简" w:cs="汉仪君黑-45简"/>
          <w:lang w:val="en-US" w:eastAsia="zh-CN"/>
        </w:rPr>
        <w:t>支柱产业</w:t>
      </w:r>
      <w:r>
        <w:rPr>
          <w:rFonts w:hint="eastAsia" w:ascii="汉仪君黑-45简" w:hAnsi="汉仪君黑-45简" w:eastAsia="汉仪君黑-45简" w:cs="汉仪君黑-45简"/>
        </w:rPr>
        <w:t>的地位</w:t>
      </w:r>
      <w:r>
        <w:rPr>
          <w:rFonts w:hint="eastAsia" w:ascii="汉仪君黑-45简" w:hAnsi="汉仪君黑-45简" w:eastAsia="汉仪君黑-45简" w:cs="汉仪君黑-45简"/>
          <w:lang w:eastAsia="zh-CN"/>
        </w:rPr>
        <w:t>。</w:t>
      </w:r>
      <w:r>
        <w:rPr>
          <w:rFonts w:hint="eastAsia" w:ascii="汉仪君黑-45简" w:hAnsi="汉仪君黑-45简" w:eastAsia="汉仪君黑-45简" w:cs="汉仪君黑-45简"/>
        </w:rPr>
        <w:t>其核心育种场数量位居全国之首，为牛羊品种的优化和改良提供了坚实保障。优质的品种</w:t>
      </w:r>
      <w:r>
        <w:rPr>
          <w:rFonts w:hint="eastAsia" w:ascii="汉仪君黑-45简" w:hAnsi="汉仪君黑-45简" w:eastAsia="汉仪君黑-45简" w:cs="汉仪君黑-45简"/>
          <w:lang w:val="en-US" w:eastAsia="zh-CN"/>
        </w:rPr>
        <w:t>和得天独厚的地理优势</w:t>
      </w:r>
      <w:r>
        <w:rPr>
          <w:rFonts w:hint="eastAsia" w:ascii="汉仪君黑-45简" w:hAnsi="汉仪君黑-45简" w:eastAsia="汉仪君黑-45简" w:cs="汉仪君黑-45简"/>
          <w:lang w:eastAsia="zh-CN"/>
        </w:rPr>
        <w:t>，</w:t>
      </w:r>
      <w:r>
        <w:rPr>
          <w:rFonts w:hint="eastAsia" w:ascii="汉仪君黑-45简" w:hAnsi="汉仪君黑-45简" w:eastAsia="汉仪君黑-45简" w:cs="汉仪君黑-45简"/>
        </w:rPr>
        <w:t>形成了稳定且规模庞大的产业链条，</w:t>
      </w:r>
      <w:r>
        <w:rPr>
          <w:rFonts w:hint="eastAsia" w:ascii="汉仪君黑-45简" w:hAnsi="汉仪君黑-45简" w:eastAsia="汉仪君黑-45简" w:cs="汉仪君黑-45简"/>
          <w:lang w:val="en-US" w:eastAsia="zh-CN"/>
        </w:rPr>
        <w:t>2025内蒙古牛羊会将进一步推动</w:t>
      </w:r>
      <w:r>
        <w:rPr>
          <w:rFonts w:hint="eastAsia" w:ascii="汉仪君黑-45简" w:hAnsi="汉仪君黑-45简" w:eastAsia="汉仪君黑-45简" w:cs="汉仪君黑-45简"/>
        </w:rPr>
        <w:t>内蒙古牛羊产业走上规模化、标准化、智能化、品牌化发展道路。</w:t>
      </w:r>
    </w:p>
    <w:p w14:paraId="13464DCC">
      <w:pPr>
        <w:rPr>
          <w:rFonts w:hint="eastAsia"/>
          <w:lang w:val="en-US" w:eastAsia="zh-CN"/>
        </w:rPr>
      </w:pPr>
    </w:p>
    <w:p w14:paraId="20845D19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after="0" w:line="440" w:lineRule="exact"/>
        <w:ind w:left="0" w:leftChars="0" w:firstLine="0" w:firstLineChars="0"/>
        <w:jc w:val="left"/>
        <w:outlineLvl w:val="9"/>
        <w:rPr>
          <w:rFonts w:hint="eastAsia" w:ascii="微软雅黑" w:hAnsi="微软雅黑" w:eastAsia="微软雅黑"/>
          <w:b/>
          <w:color w:val="00B0F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  <w:lang w:val="en-US" w:eastAsia="zh-CN"/>
        </w:rPr>
        <w:t>活动丰富 聚力共赢</w:t>
      </w:r>
    </w:p>
    <w:p w14:paraId="1EF0DEF8">
      <w:pPr>
        <w:rPr>
          <w:rFonts w:hint="eastAsia" w:ascii="汉仪君黑-45简" w:hAnsi="汉仪君黑-45简" w:eastAsia="汉仪君黑-45简" w:cs="汉仪君黑-45简"/>
          <w:lang w:val="en-US" w:eastAsia="zh-CN"/>
        </w:rPr>
      </w:pPr>
      <w:r>
        <w:rPr>
          <w:rFonts w:hint="eastAsia" w:ascii="汉仪君黑-45简" w:hAnsi="汉仪君黑-45简" w:eastAsia="汉仪君黑-45简" w:cs="汉仪君黑-45简"/>
          <w:lang w:val="en-US" w:eastAsia="zh-CN"/>
        </w:rPr>
        <w:t>本届内蒙古牛羊会聚焦行业新质生产力，探索行业发展新动能，加速产业链延伸以及供应链的构建，同期举办多场学术论坛，邀请国内外众多专家学者、行业大咖、共同探讨行业发展前景，赋能牛羊产业健康发展。</w:t>
      </w:r>
    </w:p>
    <w:p w14:paraId="597D1A17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after="0" w:line="440" w:lineRule="exact"/>
        <w:ind w:left="0" w:leftChars="0" w:firstLine="0" w:firstLineChars="0"/>
        <w:jc w:val="left"/>
        <w:outlineLvl w:val="9"/>
        <w:rPr>
          <w:rFonts w:hint="eastAsia" w:ascii="微软雅黑" w:hAnsi="微软雅黑" w:eastAsia="微软雅黑"/>
          <w:b/>
          <w:color w:val="00B0F0"/>
          <w:sz w:val="28"/>
          <w:szCs w:val="28"/>
        </w:rPr>
      </w:pPr>
    </w:p>
    <w:p w14:paraId="75FCA6E4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after="0" w:line="440" w:lineRule="exact"/>
        <w:ind w:left="0" w:leftChars="0" w:firstLine="0" w:firstLineChars="0"/>
        <w:jc w:val="left"/>
        <w:outlineLvl w:val="9"/>
        <w:rPr>
          <w:rFonts w:hint="eastAsia" w:ascii="微软雅黑" w:hAnsi="微软雅黑" w:eastAsia="微软雅黑"/>
          <w:b/>
          <w:color w:val="00B0F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>【</w:t>
      </w:r>
      <w:r>
        <w:rPr>
          <w:rFonts w:hint="eastAsia" w:ascii="微软雅黑" w:hAnsi="微软雅黑" w:eastAsia="微软雅黑"/>
          <w:b/>
          <w:color w:val="00B0F0"/>
          <w:sz w:val="28"/>
          <w:szCs w:val="28"/>
          <w:lang w:eastAsia="zh-CN"/>
        </w:rPr>
        <w:t>展品范围</w:t>
      </w: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>】</w:t>
      </w:r>
    </w:p>
    <w:p w14:paraId="7CBFAD98">
      <w:pPr>
        <w:rPr>
          <w:rFonts w:hint="eastAsia" w:ascii="汉仪君黑-45简" w:hAnsi="汉仪君黑-45简" w:eastAsia="汉仪君黑-45简" w:cs="汉仪君黑-45简"/>
          <w:lang w:eastAsia="zh-CN"/>
        </w:rPr>
      </w:pPr>
      <w:r>
        <w:rPr>
          <w:rFonts w:hint="eastAsia" w:ascii="汉仪君黑-45简" w:hAnsi="汉仪君黑-45简" w:eastAsia="汉仪君黑-45简" w:cs="汉仪君黑-45简"/>
          <w:b/>
          <w:bCs/>
          <w:lang w:eastAsia="zh-CN"/>
        </w:rPr>
        <w:t>饲草饲料：</w:t>
      </w:r>
      <w:r>
        <w:rPr>
          <w:rFonts w:hint="eastAsia" w:ascii="汉仪君黑-45简" w:hAnsi="汉仪君黑-45简" w:eastAsia="汉仪君黑-45简" w:cs="汉仪君黑-45简"/>
        </w:rPr>
        <w:t>草粉、草颗粒、牧草、牧草种子、饲料原料、饲料添加剂、预混饲料、浓缩饲料、特种饲料深加工产品；饲料加工机械、饲料加工设备及配件，饲料科技、饲料质量检测设备仪器等</w:t>
      </w:r>
      <w:r>
        <w:rPr>
          <w:rFonts w:hint="eastAsia" w:ascii="汉仪君黑-45简" w:hAnsi="汉仪君黑-45简" w:eastAsia="汉仪君黑-45简" w:cs="汉仪君黑-45简"/>
          <w:lang w:eastAsia="zh-CN"/>
        </w:rPr>
        <w:t>。</w:t>
      </w:r>
    </w:p>
    <w:p w14:paraId="62D5CB13">
      <w:pPr>
        <w:rPr>
          <w:rFonts w:hint="eastAsia" w:ascii="汉仪君黑-45简" w:hAnsi="汉仪君黑-45简" w:eastAsia="汉仪君黑-45简" w:cs="汉仪君黑-45简"/>
          <w:lang w:eastAsia="zh-CN"/>
        </w:rPr>
      </w:pPr>
      <w:r>
        <w:rPr>
          <w:rFonts w:hint="eastAsia" w:ascii="汉仪君黑-45简" w:hAnsi="汉仪君黑-45简" w:eastAsia="汉仪君黑-45简" w:cs="汉仪君黑-45简"/>
          <w:b/>
          <w:bCs/>
          <w:lang w:eastAsia="zh-CN"/>
        </w:rPr>
        <w:t>卫生保健：</w:t>
      </w:r>
      <w:r>
        <w:rPr>
          <w:rFonts w:hint="eastAsia" w:ascii="汉仪君黑-45简" w:hAnsi="汉仪君黑-45简" w:eastAsia="汉仪君黑-45简" w:cs="汉仪君黑-45简"/>
        </w:rPr>
        <w:t>兽药、疫苗、动物保健品及相关生物制品；消毒消炎、疾病防治、诊断治疗仪器及试剂；兽药器械及兽药生产、加工相关包装机械、设备、材料等</w:t>
      </w:r>
      <w:r>
        <w:rPr>
          <w:rFonts w:hint="eastAsia" w:ascii="汉仪君黑-45简" w:hAnsi="汉仪君黑-45简" w:eastAsia="汉仪君黑-45简" w:cs="汉仪君黑-45简"/>
          <w:lang w:eastAsia="zh-CN"/>
        </w:rPr>
        <w:t>。</w:t>
      </w:r>
    </w:p>
    <w:p w14:paraId="1F145FC4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</w:rPr>
        <w:t>饲养与营养：饲养管理技术、日粮配制技术、配方软件、畜牧业物联网、饲养管理软件等</w:t>
      </w:r>
      <w:r>
        <w:rPr>
          <w:rFonts w:hint="eastAsia" w:ascii="汉仪君黑-45简" w:hAnsi="汉仪君黑-45简" w:eastAsia="汉仪君黑-45简" w:cs="汉仪君黑-45简"/>
          <w:lang w:eastAsia="zh-CN"/>
        </w:rPr>
        <w:t>。</w:t>
      </w:r>
    </w:p>
    <w:p w14:paraId="113D19F4">
      <w:pPr>
        <w:rPr>
          <w:rFonts w:hint="eastAsia" w:ascii="汉仪君黑-45简" w:hAnsi="汉仪君黑-45简" w:eastAsia="汉仪君黑-45简" w:cs="汉仪君黑-45简"/>
          <w:lang w:eastAsia="zh-CN"/>
        </w:rPr>
      </w:pPr>
      <w:r>
        <w:rPr>
          <w:rFonts w:hint="eastAsia" w:ascii="汉仪君黑-45简" w:hAnsi="汉仪君黑-45简" w:eastAsia="汉仪君黑-45简" w:cs="汉仪君黑-45简"/>
          <w:b/>
          <w:bCs/>
          <w:lang w:eastAsia="zh-CN"/>
        </w:rPr>
        <w:t>育种</w:t>
      </w:r>
      <w:r>
        <w:rPr>
          <w:rFonts w:hint="eastAsia" w:ascii="汉仪君黑-45简" w:hAnsi="汉仪君黑-45简" w:eastAsia="汉仪君黑-45简" w:cs="汉仪君黑-45简"/>
          <w:b/>
          <w:bCs/>
        </w:rPr>
        <w:t>繁育</w:t>
      </w:r>
      <w:r>
        <w:rPr>
          <w:rFonts w:hint="eastAsia" w:ascii="汉仪君黑-45简" w:hAnsi="汉仪君黑-45简" w:eastAsia="汉仪君黑-45简" w:cs="汉仪君黑-45简"/>
          <w:b/>
          <w:bCs/>
          <w:lang w:eastAsia="zh-CN"/>
        </w:rPr>
        <w:t>：</w:t>
      </w:r>
      <w:r>
        <w:rPr>
          <w:rFonts w:hint="eastAsia" w:ascii="汉仪君黑-45简" w:hAnsi="汉仪君黑-45简" w:eastAsia="汉仪君黑-45简" w:cs="汉仪君黑-45简"/>
        </w:rPr>
        <w:t>冻精生产、胚胎生产及移植、繁殖技术与设备等</w:t>
      </w:r>
      <w:r>
        <w:rPr>
          <w:rFonts w:hint="eastAsia" w:ascii="汉仪君黑-45简" w:hAnsi="汉仪君黑-45简" w:eastAsia="汉仪君黑-45简" w:cs="汉仪君黑-45简"/>
          <w:lang w:eastAsia="zh-CN"/>
        </w:rPr>
        <w:t>。</w:t>
      </w:r>
    </w:p>
    <w:p w14:paraId="489259ED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装备机械</w:t>
      </w:r>
      <w:r>
        <w:rPr>
          <w:rFonts w:hint="eastAsia" w:ascii="汉仪君黑-45简" w:hAnsi="汉仪君黑-45简" w:eastAsia="汉仪君黑-45简" w:cs="汉仪君黑-45简"/>
          <w:b/>
          <w:bCs/>
          <w:lang w:eastAsia="zh-CN"/>
        </w:rPr>
        <w:t>：</w:t>
      </w:r>
      <w:r>
        <w:rPr>
          <w:rFonts w:hint="eastAsia" w:ascii="汉仪君黑-45简" w:hAnsi="汉仪君黑-45简" w:eastAsia="汉仪君黑-45简" w:cs="汉仪君黑-45简"/>
        </w:rPr>
        <w:t>饲草（青贮）收割机、打捆机、破包机等机械设备；饲料粉碎机、搅拌机、预</w:t>
      </w:r>
      <w:r>
        <w:rPr>
          <w:rFonts w:hint="eastAsia" w:ascii="汉仪君黑-45简" w:hAnsi="汉仪君黑-45简" w:eastAsia="汉仪君黑-45简" w:cs="汉仪君黑-45简"/>
          <w:lang w:eastAsia="zh-CN"/>
        </w:rPr>
        <w:t>混</w:t>
      </w:r>
      <w:r>
        <w:rPr>
          <w:rFonts w:hint="eastAsia" w:ascii="汉仪君黑-45简" w:hAnsi="汉仪君黑-45简" w:eastAsia="汉仪君黑-45简" w:cs="汉仪君黑-45简"/>
        </w:rPr>
        <w:t>机等饲料加工设备；TMR车、抛料车、撒料车及相关饲料输送装备；挤奶机、贮奶罐等专业设备；吸粪车、刮粪板等清洁环保设备；温控、环控等辅助装备机械等。</w:t>
      </w:r>
    </w:p>
    <w:p w14:paraId="2C293761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牧场建设：</w:t>
      </w:r>
      <w:r>
        <w:rPr>
          <w:rFonts w:hint="eastAsia" w:ascii="汉仪君黑-45简" w:hAnsi="汉仪君黑-45简" w:eastAsia="汉仪君黑-45简" w:cs="汉仪君黑-45简"/>
        </w:rPr>
        <w:t>牧场设计、牧场建设、畜牧装备、牧场管理咨询</w:t>
      </w:r>
      <w:r>
        <w:rPr>
          <w:rFonts w:hint="eastAsia" w:ascii="汉仪君黑-45简" w:hAnsi="汉仪君黑-45简" w:eastAsia="汉仪君黑-45简" w:cs="汉仪君黑-45简"/>
          <w:lang w:eastAsia="zh-CN"/>
        </w:rPr>
        <w:t>、</w:t>
      </w:r>
      <w:r>
        <w:rPr>
          <w:rFonts w:hint="eastAsia" w:ascii="汉仪君黑-45简" w:hAnsi="汉仪君黑-45简" w:eastAsia="汉仪君黑-45简" w:cs="汉仪君黑-45简"/>
        </w:rPr>
        <w:t>金钥匙工程、种养结合的生态牧场、清洁能源等新技术；生产区、饲料区、粪污处理区等配套系统的设施、装备等。</w:t>
      </w:r>
    </w:p>
    <w:p w14:paraId="07E8301A">
      <w:pPr>
        <w:rPr>
          <w:rFonts w:hint="eastAsia" w:ascii="汉仪君黑-45简" w:hAnsi="汉仪君黑-45简" w:eastAsia="汉仪君黑-45简" w:cs="汉仪君黑-45简"/>
          <w:lang w:eastAsia="zh-CN"/>
        </w:rPr>
      </w:pPr>
      <w:r>
        <w:rPr>
          <w:rFonts w:hint="eastAsia" w:ascii="汉仪君黑-45简" w:hAnsi="汉仪君黑-45简" w:eastAsia="汉仪君黑-45简" w:cs="汉仪君黑-45简"/>
          <w:lang w:eastAsia="zh-CN"/>
        </w:rPr>
        <w:t>深</w:t>
      </w:r>
      <w:r>
        <w:rPr>
          <w:rFonts w:hint="eastAsia" w:ascii="汉仪君黑-45简" w:hAnsi="汉仪君黑-45简" w:eastAsia="汉仪君黑-45简" w:cs="汉仪君黑-45简"/>
        </w:rPr>
        <w:t>加工机械设备：牛羊屠宰生产线、牛羊肉切割技术及设备、</w:t>
      </w:r>
      <w:r>
        <w:rPr>
          <w:rFonts w:hint="eastAsia" w:ascii="汉仪君黑-45简" w:hAnsi="汉仪君黑-45简" w:eastAsia="汉仪君黑-45简" w:cs="汉仪君黑-45简"/>
          <w:lang w:eastAsia="zh-CN"/>
        </w:rPr>
        <w:t>精深加工设备；</w:t>
      </w:r>
      <w:r>
        <w:rPr>
          <w:rFonts w:hint="eastAsia" w:ascii="汉仪君黑-45简" w:hAnsi="汉仪君黑-45简" w:eastAsia="汉仪君黑-45简" w:cs="汉仪君黑-45简"/>
        </w:rPr>
        <w:t>检验检疫仪器设备；分离机、均质机等加工设备，灌装机、分销设备等包装机械；再生纸、防伪标签等新技术产品等。</w:t>
      </w:r>
    </w:p>
    <w:p w14:paraId="0755CA50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包材设备：</w:t>
      </w:r>
      <w:r>
        <w:rPr>
          <w:rFonts w:hint="eastAsia" w:ascii="汉仪君黑-45简" w:hAnsi="汉仪君黑-45简" w:eastAsia="汉仪君黑-45简" w:cs="汉仪君黑-45简"/>
        </w:rPr>
        <w:t>纸张、纸板等包装原料；印油、打包带等包装耗材；无菌包装、冷藏包装等包装产品等。</w:t>
      </w:r>
    </w:p>
    <w:p w14:paraId="6A715B5D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物流运输设备：</w:t>
      </w:r>
      <w:r>
        <w:rPr>
          <w:rFonts w:hint="eastAsia" w:ascii="汉仪君黑-45简" w:hAnsi="汉仪君黑-45简" w:eastAsia="汉仪君黑-45简" w:cs="汉仪君黑-45简"/>
        </w:rPr>
        <w:t>制冷剂、温控器等制冷设备；冷冻冷藏运输车、奶罐车等运输设备；管件阀门、</w:t>
      </w:r>
      <w:r>
        <w:rPr>
          <w:rFonts w:hint="eastAsia" w:ascii="汉仪君黑-45简" w:hAnsi="汉仪君黑-45简" w:eastAsia="汉仪君黑-45简" w:cs="汉仪君黑-45简"/>
          <w:lang w:val="en-US" w:eastAsia="zh-CN"/>
        </w:rPr>
        <w:t xml:space="preserve"> </w:t>
      </w:r>
      <w:r>
        <w:rPr>
          <w:rFonts w:hint="eastAsia" w:ascii="汉仪君黑-45简" w:hAnsi="汉仪君黑-45简" w:eastAsia="汉仪君黑-45简" w:cs="汉仪君黑-45简"/>
        </w:rPr>
        <w:t>钢管泵业等流体设备；铲车、GPS跟踪器等相关附属设备等。</w:t>
      </w:r>
    </w:p>
    <w:p w14:paraId="401CDFD6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牛羊肉制品：</w:t>
      </w:r>
      <w:r>
        <w:rPr>
          <w:rFonts w:hint="eastAsia" w:ascii="汉仪君黑-45简" w:hAnsi="汉仪君黑-45简" w:eastAsia="汉仪君黑-45简" w:cs="汉仪君黑-45简"/>
        </w:rPr>
        <w:t>牛羊肉制品、肉类配料和调味品、牛羊肉配套服务、牛羊肉电商、供应商、经销商、代理商、进出口贸易公司、商超、卖场等。</w:t>
      </w:r>
    </w:p>
    <w:p w14:paraId="24AA027C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奶制品：</w:t>
      </w:r>
      <w:r>
        <w:rPr>
          <w:rFonts w:hint="eastAsia" w:ascii="汉仪君黑-45简" w:hAnsi="汉仪君黑-45简" w:eastAsia="汉仪君黑-45简" w:cs="汉仪君黑-45简"/>
        </w:rPr>
        <w:t>国内外低温奶、UHT奶、酸奶、学生饮用奶、有机奶、功能奶、特色奶等各类液态奶；奶粉、奶酪、奶油、乳清、炼乳等各类干乳制品；奶片、冰激凌、乳饮料、乳酸菌饮料、蛋白粉等各类衍生产品等。</w:t>
      </w:r>
    </w:p>
    <w:p w14:paraId="66DDB496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羊绒制品：</w:t>
      </w:r>
      <w:r>
        <w:rPr>
          <w:rFonts w:hint="eastAsia" w:ascii="汉仪君黑-45简" w:hAnsi="汉仪君黑-45简" w:eastAsia="汉仪君黑-45简" w:cs="汉仪君黑-45简"/>
        </w:rPr>
        <w:t>羊绒纱线、羊绒原料、羊绒面料、羊绒检测、加工化学原料及染料、羊绒生产设备及技术、羊绒成衣羊绒配飾、配件及配饰等。</w:t>
      </w:r>
    </w:p>
    <w:p w14:paraId="3EC2D306">
      <w:pPr>
        <w:rPr>
          <w:rFonts w:hint="eastAsia" w:ascii="汉仪君黑-45简" w:hAnsi="汉仪君黑-45简" w:eastAsia="汉仪君黑-45简" w:cs="汉仪君黑-45简"/>
        </w:rPr>
      </w:pPr>
      <w:r>
        <w:rPr>
          <w:rFonts w:hint="eastAsia" w:ascii="汉仪君黑-45简" w:hAnsi="汉仪君黑-45简" w:eastAsia="汉仪君黑-45简" w:cs="汉仪君黑-45简"/>
          <w:b/>
          <w:bCs/>
        </w:rPr>
        <w:t>综合服务：</w:t>
      </w:r>
      <w:r>
        <w:rPr>
          <w:rFonts w:hint="eastAsia" w:ascii="汉仪君黑-45简" w:hAnsi="汉仪君黑-45简" w:eastAsia="汉仪君黑-45简" w:cs="汉仪君黑-45简"/>
        </w:rPr>
        <w:t>追溯技术服务、金融贷款、风险投资、保险贸易、咨询培训、认证机构、品牌营销等相关服务；软件开发、硬件支持、科技应用、项目合作等新型服务、专业媒体服务；即时通讯等多媒体信息服务等。</w:t>
      </w:r>
    </w:p>
    <w:p w14:paraId="207D6EF3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after="0" w:line="440" w:lineRule="exact"/>
        <w:ind w:left="0" w:leftChars="0" w:firstLine="0" w:firstLineChars="0"/>
        <w:jc w:val="left"/>
        <w:outlineLvl w:val="9"/>
        <w:rPr>
          <w:rFonts w:hint="eastAsia" w:ascii="微软雅黑" w:hAnsi="微软雅黑" w:eastAsia="微软雅黑"/>
          <w:b/>
          <w:color w:val="00B0F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>【</w:t>
      </w:r>
      <w:r>
        <w:rPr>
          <w:rFonts w:hint="eastAsia" w:ascii="微软雅黑" w:hAnsi="微软雅黑" w:eastAsia="微软雅黑"/>
          <w:b/>
          <w:color w:val="00B0F0"/>
          <w:sz w:val="28"/>
          <w:szCs w:val="28"/>
          <w:lang w:eastAsia="zh-CN"/>
        </w:rPr>
        <w:t>展位</w:t>
      </w:r>
      <w:r>
        <w:rPr>
          <w:rFonts w:hint="eastAsia" w:ascii="微软雅黑" w:hAnsi="微软雅黑" w:eastAsia="微软雅黑"/>
          <w:b/>
          <w:color w:val="00B0F0"/>
          <w:sz w:val="28"/>
          <w:szCs w:val="28"/>
          <w:lang w:val="en-US" w:eastAsia="zh-CN"/>
        </w:rPr>
        <w:t>及广告</w:t>
      </w: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>】</w:t>
      </w:r>
    </w:p>
    <w:p w14:paraId="7EB1FA83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after="0" w:line="440" w:lineRule="exact"/>
        <w:ind w:left="0" w:leftChars="0" w:firstLine="0" w:firstLineChars="0"/>
        <w:jc w:val="left"/>
        <w:outlineLvl w:val="9"/>
        <w:rPr>
          <w:rFonts w:hint="eastAsia" w:ascii="微软雅黑" w:hAnsi="微软雅黑" w:eastAsia="微软雅黑"/>
          <w:b/>
          <w:color w:val="00B0F0"/>
          <w:sz w:val="28"/>
          <w:szCs w:val="28"/>
        </w:rPr>
      </w:pPr>
    </w:p>
    <w:tbl>
      <w:tblPr>
        <w:tblStyle w:val="4"/>
        <w:tblW w:w="9315" w:type="dxa"/>
        <w:tblInd w:w="-359" w:type="dxa"/>
        <w:tblBorders>
          <w:top w:val="single" w:color="2D54A0" w:themeColor="accent1" w:themeShade="BF" w:sz="12" w:space="0"/>
          <w:left w:val="single" w:color="2D54A0" w:themeColor="accent1" w:themeShade="BF" w:sz="12" w:space="0"/>
          <w:bottom w:val="single" w:color="2D54A0" w:themeColor="accent1" w:themeShade="BF" w:sz="12" w:space="0"/>
          <w:right w:val="single" w:color="2D54A0" w:themeColor="accent1" w:themeShade="BF" w:sz="12" w:space="0"/>
          <w:insideH w:val="single" w:color="2D54A0" w:themeColor="accent1" w:themeShade="BF" w:sz="12" w:space="0"/>
          <w:insideV w:val="single" w:color="2D54A0" w:themeColor="accent1" w:themeShade="BF" w:sz="12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905"/>
        <w:gridCol w:w="660"/>
        <w:gridCol w:w="1620"/>
        <w:gridCol w:w="967"/>
        <w:gridCol w:w="953"/>
        <w:gridCol w:w="1890"/>
      </w:tblGrid>
      <w:tr w14:paraId="730DB738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9315" w:type="dxa"/>
            <w:gridSpan w:val="7"/>
            <w:tcBorders>
              <w:tl2br w:val="nil"/>
              <w:tr2bl w:val="nil"/>
            </w:tcBorders>
            <w:shd w:val="clear" w:color="auto" w:fill="auto"/>
          </w:tcPr>
          <w:p w14:paraId="060C970C">
            <w:pPr>
              <w:jc w:val="center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lang w:val="en-US" w:eastAsia="zh-CN"/>
              </w:rPr>
              <w:t xml:space="preserve">展 位 收 费 标 准 / </w:t>
            </w:r>
            <w:r>
              <w:rPr>
                <w:rFonts w:hint="eastAsia"/>
                <w:b/>
                <w:bCs/>
                <w:color w:val="FF0000"/>
                <w:sz w:val="28"/>
                <w:szCs w:val="36"/>
                <w:lang w:val="en-US" w:eastAsia="zh-CN"/>
              </w:rPr>
              <w:t>前100家参展企业享受50%补贴</w:t>
            </w:r>
          </w:p>
        </w:tc>
      </w:tr>
      <w:tr w14:paraId="7A73D22B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</w:tcPr>
          <w:p w14:paraId="59F3BB22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展位</w:t>
            </w:r>
          </w:p>
        </w:tc>
        <w:tc>
          <w:tcPr>
            <w:tcW w:w="2565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268FBD1E">
            <w:pPr>
              <w:snapToGrid/>
              <w:spacing w:before="0" w:beforeAutospacing="0" w:after="0" w:afterAutospacing="0" w:line="240" w:lineRule="auto"/>
              <w:ind w:right="384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标准展位/单开口</w:t>
            </w:r>
          </w:p>
        </w:tc>
        <w:tc>
          <w:tcPr>
            <w:tcW w:w="2587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28E13994">
            <w:pPr>
              <w:snapToGrid/>
              <w:spacing w:before="0" w:beforeAutospacing="0" w:after="0" w:afterAutospacing="0" w:line="240" w:lineRule="auto"/>
              <w:ind w:right="384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标准展位/双开口</w:t>
            </w:r>
          </w:p>
        </w:tc>
        <w:tc>
          <w:tcPr>
            <w:tcW w:w="2843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739A9003">
            <w:pPr>
              <w:snapToGrid/>
              <w:spacing w:before="0" w:beforeAutospacing="0" w:after="0" w:afterAutospacing="0" w:line="240" w:lineRule="auto"/>
              <w:ind w:right="384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光地展位（36m2起租）</w:t>
            </w:r>
          </w:p>
        </w:tc>
      </w:tr>
      <w:tr w14:paraId="4039AF66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320" w:type="dxa"/>
            <w:vMerge w:val="restart"/>
            <w:tcBorders>
              <w:tl2br w:val="nil"/>
              <w:tr2bl w:val="nil"/>
            </w:tcBorders>
            <w:shd w:val="clear" w:color="auto" w:fill="auto"/>
          </w:tcPr>
          <w:p w14:paraId="1ABDE9D1">
            <w:pPr>
              <w:jc w:val="distribut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价格</w:t>
            </w:r>
          </w:p>
        </w:tc>
        <w:tc>
          <w:tcPr>
            <w:tcW w:w="2565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1B036793">
            <w:pPr>
              <w:snapToGrid/>
              <w:spacing w:before="0" w:beforeAutospacing="0" w:after="0" w:afterAutospacing="0" w:line="240" w:lineRule="auto"/>
              <w:ind w:right="384"/>
              <w:jc w:val="center"/>
              <w:rPr>
                <w:rStyle w:val="7"/>
                <w:rFonts w:hint="default" w:ascii="宋体" w:hAnsi="宋体"/>
                <w:b/>
                <w:bCs w:val="0"/>
                <w:i w:val="0"/>
                <w:color w:val="FF0000"/>
                <w:spacing w:val="0"/>
                <w:w w:val="1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原价5900元/9平方</w:t>
            </w:r>
          </w:p>
        </w:tc>
        <w:tc>
          <w:tcPr>
            <w:tcW w:w="2587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36A5AB00">
            <w:pPr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原价</w:t>
            </w:r>
            <w:bookmarkStart w:id="0" w:name="_GoBack"/>
            <w:bookmarkEnd w:id="0"/>
            <w:r>
              <w:rPr>
                <w:rFonts w:hint="eastAsia"/>
                <w:color w:val="auto"/>
                <w:lang w:val="en-US" w:eastAsia="zh-CN"/>
              </w:rPr>
              <w:t>6900元/9平方</w:t>
            </w:r>
          </w:p>
        </w:tc>
        <w:tc>
          <w:tcPr>
            <w:tcW w:w="2843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359D5995">
            <w:pPr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原价450元/每平方</w:t>
            </w:r>
          </w:p>
        </w:tc>
      </w:tr>
      <w:tr w14:paraId="17E2A291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320" w:type="dxa"/>
            <w:vMerge w:val="continue"/>
            <w:tcBorders>
              <w:tl2br w:val="nil"/>
              <w:tr2bl w:val="nil"/>
            </w:tcBorders>
            <w:shd w:val="clear" w:color="auto" w:fill="auto"/>
          </w:tcPr>
          <w:p w14:paraId="06FD443D">
            <w:pPr>
              <w:snapToGrid/>
              <w:spacing w:before="0" w:beforeAutospacing="0" w:after="0" w:afterAutospacing="0" w:line="240" w:lineRule="auto"/>
              <w:ind w:right="384"/>
              <w:jc w:val="both"/>
            </w:pPr>
          </w:p>
        </w:tc>
        <w:tc>
          <w:tcPr>
            <w:tcW w:w="2565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40AF33C9">
            <w:pPr>
              <w:snapToGrid/>
              <w:spacing w:before="0" w:beforeAutospacing="0" w:after="0" w:afterAutospacing="0" w:line="240" w:lineRule="auto"/>
              <w:ind w:right="384"/>
              <w:jc w:val="center"/>
              <w:rPr>
                <w:rFonts w:hint="default"/>
                <w:color w:val="FF0000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0"/>
                <w:szCs w:val="22"/>
                <w:lang w:val="en-US" w:eastAsia="zh-CN"/>
              </w:rPr>
              <w:t>补贴后2950元/9平方</w:t>
            </w:r>
          </w:p>
        </w:tc>
        <w:tc>
          <w:tcPr>
            <w:tcW w:w="2587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6038EBDE">
            <w:pPr>
              <w:snapToGrid/>
              <w:spacing w:before="0" w:beforeAutospacing="0" w:after="0" w:afterAutospacing="0" w:line="240" w:lineRule="auto"/>
              <w:ind w:right="384"/>
              <w:jc w:val="center"/>
              <w:rPr>
                <w:rFonts w:hint="default"/>
                <w:b/>
                <w:bCs/>
                <w:color w:val="FF0000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0"/>
                <w:szCs w:val="22"/>
                <w:lang w:val="en-US" w:eastAsia="zh-CN"/>
              </w:rPr>
              <w:t xml:space="preserve"> 补贴后3450元/9平方</w:t>
            </w:r>
          </w:p>
        </w:tc>
        <w:tc>
          <w:tcPr>
            <w:tcW w:w="2843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3B02ABEB">
            <w:pPr>
              <w:snapToGrid/>
              <w:spacing w:before="0" w:beforeAutospacing="0" w:after="0" w:afterAutospacing="0" w:line="240" w:lineRule="auto"/>
              <w:ind w:right="384"/>
              <w:jc w:val="center"/>
              <w:rPr>
                <w:rFonts w:hint="default"/>
                <w:color w:val="FF0000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0"/>
                <w:szCs w:val="22"/>
                <w:lang w:val="en-US" w:eastAsia="zh-CN"/>
              </w:rPr>
              <w:t>补贴后225元/每平方</w:t>
            </w:r>
          </w:p>
        </w:tc>
      </w:tr>
      <w:tr w14:paraId="7F0D261A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7" w:hRule="atLeast"/>
        </w:trPr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</w:tcPr>
          <w:p w14:paraId="3505FC73">
            <w:pPr>
              <w:jc w:val="distribut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配  置</w:t>
            </w:r>
          </w:p>
        </w:tc>
        <w:tc>
          <w:tcPr>
            <w:tcW w:w="7995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3B0766CB">
            <w:pPr>
              <w:snapToGrid/>
              <w:spacing w:before="0" w:beforeAutospacing="0" w:after="0" w:afterAutospacing="0" w:line="240" w:lineRule="auto"/>
              <w:ind w:right="384"/>
              <w:jc w:val="both"/>
              <w:rPr>
                <w:rStyle w:val="7"/>
                <w:rFonts w:hint="default" w:ascii="宋体" w:hAnsi="宋体"/>
                <w:b/>
                <w:bCs w:val="0"/>
                <w:i w:val="0"/>
                <w:color w:val="FF0000"/>
                <w:spacing w:val="0"/>
                <w:w w:val="1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vertAlign w:val="baseline"/>
                <w:lang w:val="en-US" w:eastAsia="zh-CN"/>
              </w:rPr>
              <w:t>标准展位9平方米搭建配置：3mX3m含围板、一桌两椅、二盏射灯、公司楣板、220V/500w电源插座一个，如需特殊用电请事先说明，另行收费。光地展位不提供任何展具及设施，展馆收取特装管理费及水电费由参展商自己承担。</w:t>
            </w:r>
          </w:p>
        </w:tc>
      </w:tr>
      <w:tr w14:paraId="358777F2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</w:tcPr>
          <w:p w14:paraId="7B6D21CF">
            <w:pPr>
              <w:jc w:val="distribut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相关广告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auto"/>
          </w:tcPr>
          <w:p w14:paraId="7A1774D7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参观券</w:t>
            </w:r>
            <w:r>
              <w:rPr>
                <w:rFonts w:hint="eastAsia"/>
                <w:b/>
                <w:bCs/>
                <w:lang w:val="en-US" w:eastAsia="zh-CN"/>
              </w:rPr>
              <w:t>/门票</w:t>
            </w:r>
          </w:p>
        </w:tc>
        <w:tc>
          <w:tcPr>
            <w:tcW w:w="228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1FAD9A1F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手提袋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21865B7A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参观证</w:t>
            </w:r>
            <w:r>
              <w:rPr>
                <w:rFonts w:hint="eastAsia"/>
                <w:b/>
                <w:bCs/>
                <w:lang w:val="en-US" w:eastAsia="zh-CN"/>
              </w:rPr>
              <w:t>/参展证</w:t>
            </w: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auto"/>
          </w:tcPr>
          <w:p w14:paraId="2DB9BB36">
            <w:pPr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广告牌</w:t>
            </w:r>
          </w:p>
        </w:tc>
      </w:tr>
      <w:tr w14:paraId="5AC2A00F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</w:tcPr>
          <w:p w14:paraId="10166E98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价格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auto"/>
          </w:tcPr>
          <w:p w14:paraId="4BC11F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¥5000元/万张</w:t>
            </w:r>
          </w:p>
        </w:tc>
        <w:tc>
          <w:tcPr>
            <w:tcW w:w="228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0D2C0C6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¥5000元/1000个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63F6571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¥5000元/1000个</w:t>
            </w: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auto"/>
          </w:tcPr>
          <w:p w14:paraId="3CB3573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¥9800/块</w:t>
            </w:r>
          </w:p>
        </w:tc>
      </w:tr>
      <w:tr w14:paraId="16209BFD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</w:tcPr>
          <w:p w14:paraId="55998D37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尺寸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auto"/>
          </w:tcPr>
          <w:p w14:paraId="2E2576F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背面全版广告21x9cm</w:t>
            </w:r>
          </w:p>
        </w:tc>
        <w:tc>
          <w:tcPr>
            <w:tcW w:w="228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2DAB062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背面全版广告29x33.5x8.5cm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1A19239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背面全版广告7.1x10.5cm</w:t>
            </w: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auto"/>
          </w:tcPr>
          <w:p w14:paraId="614984E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室外桁架广告</w:t>
            </w:r>
          </w:p>
          <w:p w14:paraId="57B246F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300x600cm</w:t>
            </w:r>
          </w:p>
        </w:tc>
      </w:tr>
      <w:tr w14:paraId="43E033E7">
        <w:tblPrEx>
          <w:tblBorders>
            <w:top w:val="single" w:color="2D54A0" w:themeColor="accent1" w:themeShade="BF" w:sz="12" w:space="0"/>
            <w:left w:val="single" w:color="2D54A0" w:themeColor="accent1" w:themeShade="BF" w:sz="12" w:space="0"/>
            <w:bottom w:val="single" w:color="2D54A0" w:themeColor="accent1" w:themeShade="BF" w:sz="12" w:space="0"/>
            <w:right w:val="single" w:color="2D54A0" w:themeColor="accent1" w:themeShade="BF" w:sz="12" w:space="0"/>
            <w:insideH w:val="single" w:color="2D54A0" w:themeColor="accent1" w:themeShade="BF" w:sz="12" w:space="0"/>
            <w:insideV w:val="single" w:color="2D54A0" w:themeColor="accent1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</w:trPr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</w:tcPr>
          <w:p w14:paraId="062976E0">
            <w:pPr>
              <w:jc w:val="distribute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图片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shd w:val="clear" w:color="auto" w:fill="auto"/>
          </w:tcPr>
          <w:p w14:paraId="2F302BF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75565</wp:posOffset>
                  </wp:positionV>
                  <wp:extent cx="873760" cy="536575"/>
                  <wp:effectExtent l="0" t="0" r="2540" b="15875"/>
                  <wp:wrapNone/>
                  <wp:docPr id="6" name="_x0000_s1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x0000_s11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0CFF2D9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53340</wp:posOffset>
                  </wp:positionV>
                  <wp:extent cx="866775" cy="549910"/>
                  <wp:effectExtent l="0" t="0" r="9525" b="2540"/>
                  <wp:wrapNone/>
                  <wp:docPr id="7" name="_x0000_i1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x0000_i11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796F987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drawing>
                <wp:inline distT="0" distB="0" distL="0" distR="0">
                  <wp:extent cx="890270" cy="550545"/>
                  <wp:effectExtent l="0" t="0" r="5080" b="1905"/>
                  <wp:docPr id="8" name="_x0000_i1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_x0000_i11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auto"/>
          </w:tcPr>
          <w:p w14:paraId="25049A7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ge">
                    <wp:posOffset>46355</wp:posOffset>
                  </wp:positionV>
                  <wp:extent cx="806450" cy="575310"/>
                  <wp:effectExtent l="0" t="0" r="12700" b="15240"/>
                  <wp:wrapNone/>
                  <wp:docPr id="14" name="图片 10" descr="微信图片_2023101614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 descr="微信图片_202310161429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5637530</wp:posOffset>
                  </wp:positionH>
                  <wp:positionV relativeFrom="page">
                    <wp:posOffset>2980690</wp:posOffset>
                  </wp:positionV>
                  <wp:extent cx="863600" cy="616585"/>
                  <wp:effectExtent l="0" t="0" r="12700" b="12065"/>
                  <wp:wrapNone/>
                  <wp:docPr id="10" name="图片 6" descr="微信图片_2023101614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微信图片_202310161429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848890">
      <w:pPr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193040</wp:posOffset>
            </wp:positionV>
            <wp:extent cx="742950" cy="774065"/>
            <wp:effectExtent l="0" t="0" r="0" b="6985"/>
            <wp:wrapNone/>
            <wp:docPr id="4" name="图片 4" descr="肖希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肖希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lang w:val="en-US" w:eastAsia="zh-CN"/>
        </w:rPr>
        <w:t>联系人：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 xml:space="preserve">肖  希                             </w:t>
      </w:r>
    </w:p>
    <w:p w14:paraId="4FA87510">
      <w:pPr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手机（微信）：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 xml:space="preserve">13484718417                 </w:t>
      </w:r>
      <w:r>
        <w:rPr>
          <w:rFonts w:hint="eastAsia" w:ascii="黑体" w:hAnsi="黑体" w:eastAsia="黑体" w:cs="黑体"/>
          <w:b/>
          <w:bCs/>
          <w:lang w:val="en-US" w:eastAsia="zh-CN"/>
        </w:rPr>
        <w:t xml:space="preserve"> </w:t>
      </w:r>
    </w:p>
    <w:p w14:paraId="530BD747"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mail：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instrText xml:space="preserve"> HYPERLINK "mailto:674542828@qq.com" </w:instrTex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674542828@qq.com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fldChar w:fldCharType="end"/>
      </w:r>
    </w:p>
    <w:p w14:paraId="05A82142">
      <w:pPr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公众号：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CSICEXPO</w:t>
      </w:r>
    </w:p>
    <w:p w14:paraId="3E7872B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官网：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 xml:space="preserve">http://www.csicexpo.com/              </w:t>
      </w:r>
      <w:r>
        <w:rPr>
          <w:rFonts w:hint="eastAsia" w:ascii="黑体" w:hAnsi="黑体" w:eastAsia="黑体" w:cs="黑体"/>
          <w:b/>
          <w:bCs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073E297-1E0A-4452-BCA7-D8E56158BF9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2148E74-D263-4FFC-B7E8-72087FFAF4C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5203EB32-13D2-479C-9A76-C91059980AF0}"/>
  </w:font>
  <w:font w:name="WPS灵秀黑">
    <w:panose1 w:val="00000000000000000000"/>
    <w:charset w:val="86"/>
    <w:family w:val="auto"/>
    <w:pitch w:val="default"/>
    <w:sig w:usb0="00000283" w:usb1="180F1C10" w:usb2="00000016" w:usb3="00000000" w:csb0="40040001" w:csb1="C0D60000"/>
    <w:embedRegular r:id="rId4" w:fontKey="{7A15AFE9-BCA9-49F4-BA8E-91F6882D7C5B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5" w:fontKey="{C43BD988-3F30-426E-9F5E-3D082DB7B8F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7D7E65"/>
    <w:multiLevelType w:val="singleLevel"/>
    <w:tmpl w:val="917D7E65"/>
    <w:lvl w:ilvl="0" w:tentative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MGM3Y2ZkNjFhNDcyMzZmOTg4ZTA5ZGJjZjA0MDMifQ=="/>
  </w:docVars>
  <w:rsids>
    <w:rsidRoot w:val="00000000"/>
    <w:rsid w:val="004C0647"/>
    <w:rsid w:val="016043AA"/>
    <w:rsid w:val="017B2E4A"/>
    <w:rsid w:val="04E4199C"/>
    <w:rsid w:val="057A59DE"/>
    <w:rsid w:val="0B413AC1"/>
    <w:rsid w:val="0BA80E28"/>
    <w:rsid w:val="0E363EC4"/>
    <w:rsid w:val="0F587009"/>
    <w:rsid w:val="11BF0C6E"/>
    <w:rsid w:val="1809307C"/>
    <w:rsid w:val="183F2B14"/>
    <w:rsid w:val="19132458"/>
    <w:rsid w:val="1EAE27A1"/>
    <w:rsid w:val="1FD33BC1"/>
    <w:rsid w:val="20AE3B7D"/>
    <w:rsid w:val="27B60DC5"/>
    <w:rsid w:val="28AF5BAA"/>
    <w:rsid w:val="35270760"/>
    <w:rsid w:val="360D284A"/>
    <w:rsid w:val="3B320AFB"/>
    <w:rsid w:val="3CEB6BE1"/>
    <w:rsid w:val="3D8A5D30"/>
    <w:rsid w:val="4B6167AC"/>
    <w:rsid w:val="4C19637D"/>
    <w:rsid w:val="4CE11C9E"/>
    <w:rsid w:val="4E8B5A27"/>
    <w:rsid w:val="4FC35D2C"/>
    <w:rsid w:val="500E27F0"/>
    <w:rsid w:val="576F48EC"/>
    <w:rsid w:val="5DCD7E02"/>
    <w:rsid w:val="66815672"/>
    <w:rsid w:val="68A21757"/>
    <w:rsid w:val="697934FD"/>
    <w:rsid w:val="6A3E761F"/>
    <w:rsid w:val="6BC15887"/>
    <w:rsid w:val="70622350"/>
    <w:rsid w:val="70EB400D"/>
    <w:rsid w:val="724B7271"/>
    <w:rsid w:val="77E842AE"/>
    <w:rsid w:val="780F0BE1"/>
    <w:rsid w:val="7CBB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0"/>
    <w:pPr>
      <w:ind w:firstLine="420" w:firstLineChars="200"/>
    </w:pPr>
  </w:style>
  <w:style w:type="character" w:customStyle="1" w:styleId="7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8">
    <w:name w:val="超链接1"/>
    <w:basedOn w:val="9"/>
    <w:link w:val="1"/>
    <w:qFormat/>
    <w:uiPriority w:val="0"/>
    <w:rPr>
      <w:color w:val="0000FF"/>
      <w:u w:val="single"/>
    </w:rPr>
  </w:style>
  <w:style w:type="character" w:customStyle="1" w:styleId="9">
    <w:name w:val="默认段落字体1"/>
    <w:link w:val="1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2338</Words>
  <Characters>2599</Characters>
  <Lines>0</Lines>
  <Paragraphs>0</Paragraphs>
  <TotalTime>0</TotalTime>
  <ScaleCrop>false</ScaleCrop>
  <LinksUpToDate>false</LinksUpToDate>
  <CharactersWithSpaces>2731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2024-10-24T03:46:00Z</dcterms:created>
  <dc:creator>Administrator</dc:creator>
  <cp:lastModifiedBy>肖希</cp:lastModifiedBy>
  <dcterms:modified xsi:type="dcterms:W3CDTF">2024-11-04T09:34:05Z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AF2C5AF9FFA443B1B3D3523C8AC23D54_12</vt:lpwstr>
  </property>
</Properties>
</file>