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E9" w:rsidRPr="003B5CB1" w:rsidRDefault="00072AAB">
      <w:pPr>
        <w:pStyle w:val="aa"/>
        <w:ind w:left="420" w:firstLineChars="0" w:firstLine="0"/>
        <w:jc w:val="center"/>
        <w:rPr>
          <w:rFonts w:ascii="微软雅黑" w:eastAsia="微软雅黑" w:hAnsi="微软雅黑"/>
          <w:b/>
          <w:bCs/>
          <w:sz w:val="24"/>
          <w:szCs w:val="24"/>
        </w:rPr>
      </w:pPr>
      <w:r w:rsidRPr="003B5CB1">
        <w:rPr>
          <w:rFonts w:ascii="微软雅黑" w:eastAsia="微软雅黑" w:hAnsi="微软雅黑" w:hint="eastAsia"/>
          <w:b/>
          <w:bCs/>
          <w:sz w:val="24"/>
          <w:szCs w:val="24"/>
        </w:rPr>
        <w:t>相约武汉，智见未来</w:t>
      </w:r>
    </w:p>
    <w:p w:rsidR="003B5CB1" w:rsidRPr="003B5CB1" w:rsidRDefault="003B5CB1">
      <w:pPr>
        <w:jc w:val="center"/>
        <w:rPr>
          <w:rFonts w:ascii="微软雅黑" w:eastAsia="微软雅黑" w:hAnsi="微软雅黑"/>
          <w:b/>
          <w:bCs/>
          <w:sz w:val="32"/>
          <w:szCs w:val="32"/>
        </w:rPr>
      </w:pPr>
      <w:r w:rsidRPr="003B5CB1">
        <w:rPr>
          <w:rFonts w:ascii="微软雅黑" w:eastAsia="微软雅黑" w:hAnsi="微软雅黑" w:hint="eastAsia"/>
          <w:b/>
          <w:bCs/>
          <w:sz w:val="32"/>
          <w:szCs w:val="32"/>
        </w:rPr>
        <w:t>202</w:t>
      </w:r>
      <w:r w:rsidR="00B320A4">
        <w:rPr>
          <w:rFonts w:ascii="微软雅黑" w:eastAsia="微软雅黑" w:hAnsi="微软雅黑" w:hint="eastAsia"/>
          <w:b/>
          <w:bCs/>
          <w:sz w:val="32"/>
          <w:szCs w:val="32"/>
        </w:rPr>
        <w:t>5</w:t>
      </w:r>
      <w:r w:rsidRPr="003B5CB1">
        <w:rPr>
          <w:rFonts w:ascii="微软雅黑" w:eastAsia="微软雅黑" w:hAnsi="微软雅黑" w:hint="eastAsia"/>
          <w:b/>
          <w:bCs/>
          <w:sz w:val="32"/>
          <w:szCs w:val="32"/>
        </w:rPr>
        <w:t>武汉国际</w:t>
      </w:r>
      <w:r w:rsidRPr="003B5CB1">
        <w:rPr>
          <w:rFonts w:ascii="微软雅黑" w:eastAsia="微软雅黑" w:hAnsi="微软雅黑"/>
          <w:b/>
          <w:bCs/>
          <w:sz w:val="32"/>
          <w:szCs w:val="32"/>
        </w:rPr>
        <w:t>智能仓储及物料搬运技术展览会</w:t>
      </w:r>
    </w:p>
    <w:p w:rsidR="00A114E9" w:rsidRDefault="00072AAB">
      <w:pPr>
        <w:jc w:val="center"/>
        <w:rPr>
          <w:rFonts w:ascii="微软雅黑" w:eastAsia="微软雅黑" w:hAnsi="微软雅黑"/>
          <w:b/>
          <w:bCs/>
          <w:sz w:val="24"/>
          <w:szCs w:val="24"/>
        </w:rPr>
      </w:pPr>
      <w:r>
        <w:rPr>
          <w:rFonts w:ascii="微软雅黑" w:eastAsia="微软雅黑" w:hAnsi="微软雅黑" w:hint="eastAsia"/>
          <w:b/>
          <w:bCs/>
          <w:sz w:val="24"/>
          <w:szCs w:val="24"/>
        </w:rPr>
        <w:t>时间：202</w:t>
      </w:r>
      <w:r w:rsidR="00B320A4">
        <w:rPr>
          <w:rFonts w:ascii="微软雅黑" w:eastAsia="微软雅黑" w:hAnsi="微软雅黑" w:hint="eastAsia"/>
          <w:b/>
          <w:bCs/>
          <w:sz w:val="24"/>
          <w:szCs w:val="24"/>
        </w:rPr>
        <w:t>5年10月15-18日</w:t>
      </w:r>
      <w:r>
        <w:rPr>
          <w:rFonts w:ascii="微软雅黑" w:eastAsia="微软雅黑" w:hAnsi="微软雅黑" w:hint="eastAsia"/>
          <w:b/>
          <w:bCs/>
          <w:sz w:val="24"/>
          <w:szCs w:val="24"/>
        </w:rPr>
        <w:t xml:space="preserve"> </w:t>
      </w:r>
      <w:r>
        <w:rPr>
          <w:rFonts w:ascii="微软雅黑" w:eastAsia="微软雅黑" w:hAnsi="微软雅黑"/>
          <w:b/>
          <w:bCs/>
          <w:sz w:val="24"/>
          <w:szCs w:val="24"/>
        </w:rPr>
        <w:t xml:space="preserve">   </w:t>
      </w:r>
      <w:r>
        <w:rPr>
          <w:rFonts w:ascii="微软雅黑" w:eastAsia="微软雅黑" w:hAnsi="微软雅黑" w:hint="eastAsia"/>
          <w:b/>
          <w:bCs/>
          <w:sz w:val="24"/>
          <w:szCs w:val="24"/>
        </w:rPr>
        <w:t>地点：武汉国际博览中心</w:t>
      </w:r>
    </w:p>
    <w:p w:rsidR="00A114E9" w:rsidRDefault="00A114E9">
      <w:pPr>
        <w:rPr>
          <w:sz w:val="22"/>
          <w:szCs w:val="24"/>
        </w:rPr>
      </w:pPr>
    </w:p>
    <w:p w:rsidR="00B320A4" w:rsidRPr="0005481C" w:rsidRDefault="00B320A4" w:rsidP="00B320A4">
      <w:pPr>
        <w:pStyle w:val="2"/>
        <w:jc w:val="center"/>
        <w:rPr>
          <w:sz w:val="84"/>
          <w:szCs w:val="84"/>
        </w:rPr>
      </w:pPr>
      <w:r w:rsidRPr="0005481C">
        <w:rPr>
          <w:rFonts w:hint="eastAsia"/>
          <w:sz w:val="84"/>
          <w:szCs w:val="84"/>
        </w:rPr>
        <w:t>邀请函</w:t>
      </w:r>
    </w:p>
    <w:p w:rsidR="00B320A4" w:rsidRDefault="00B320A4" w:rsidP="00B320A4">
      <w:pPr>
        <w:spacing w:line="400" w:lineRule="exact"/>
        <w:jc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主办单位</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武汉市城市建设投资开发集团有限公司</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汉诺威米兰展览（上海）有限公司</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东</w:t>
      </w:r>
      <w:proofErr w:type="gramStart"/>
      <w:r>
        <w:rPr>
          <w:rFonts w:ascii="微软雅黑" w:eastAsia="微软雅黑" w:hAnsi="微软雅黑" w:cs="微软雅黑" w:hint="eastAsia"/>
          <w:color w:val="000000"/>
          <w:sz w:val="24"/>
        </w:rPr>
        <w:t>浩</w:t>
      </w:r>
      <w:proofErr w:type="gramEnd"/>
      <w:r>
        <w:rPr>
          <w:rFonts w:ascii="微软雅黑" w:eastAsia="微软雅黑" w:hAnsi="微软雅黑" w:cs="微软雅黑" w:hint="eastAsia"/>
          <w:color w:val="000000"/>
          <w:sz w:val="24"/>
        </w:rPr>
        <w:t>兰生会展集团上海工业商务展览有限公司</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中国机电产品进出口商会</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湖北省机械行业联合会</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湖北省汽车产业技术创新联盟</w:t>
      </w:r>
    </w:p>
    <w:p w:rsidR="00B320A4" w:rsidRDefault="00B320A4" w:rsidP="00B320A4">
      <w:pPr>
        <w:spacing w:line="400" w:lineRule="exact"/>
        <w:jc w:val="center"/>
        <w:rPr>
          <w:rFonts w:ascii="微软雅黑" w:eastAsia="微软雅黑" w:hAnsi="微软雅黑" w:cs="微软雅黑"/>
          <w:b/>
          <w:bCs/>
          <w:color w:val="000000"/>
          <w:sz w:val="24"/>
        </w:rPr>
      </w:pPr>
    </w:p>
    <w:p w:rsidR="00B320A4" w:rsidRDefault="00B320A4" w:rsidP="00B320A4">
      <w:pPr>
        <w:spacing w:line="400" w:lineRule="exact"/>
        <w:jc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承办单位</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亚太瑞斯会展集团</w:t>
      </w:r>
    </w:p>
    <w:p w:rsidR="00B320A4" w:rsidRDefault="00B320A4" w:rsidP="00B320A4">
      <w:pPr>
        <w:spacing w:line="400" w:lineRule="exact"/>
        <w:jc w:val="center"/>
        <w:rPr>
          <w:rFonts w:ascii="微软雅黑" w:eastAsia="微软雅黑" w:hAnsi="微软雅黑" w:cs="微软雅黑"/>
          <w:color w:val="000000"/>
          <w:sz w:val="24"/>
        </w:rPr>
      </w:pPr>
      <w:r>
        <w:rPr>
          <w:rFonts w:ascii="微软雅黑" w:eastAsia="微软雅黑" w:hAnsi="微软雅黑" w:cs="微软雅黑"/>
          <w:color w:val="000000"/>
          <w:sz w:val="24"/>
        </w:rPr>
        <w:t>武汉国际会展集团股份有限公司</w:t>
      </w:r>
    </w:p>
    <w:p w:rsidR="00B320A4" w:rsidRDefault="00B320A4" w:rsidP="00B320A4">
      <w:pPr>
        <w:spacing w:line="400" w:lineRule="exact"/>
        <w:jc w:val="center"/>
        <w:rPr>
          <w:rFonts w:ascii="微软雅黑" w:eastAsia="微软雅黑" w:hAnsi="微软雅黑" w:cs="微软雅黑"/>
          <w:b/>
          <w:bCs/>
          <w:color w:val="000000"/>
          <w:sz w:val="24"/>
        </w:rPr>
      </w:pPr>
    </w:p>
    <w:p w:rsidR="00B320A4" w:rsidRDefault="00B320A4" w:rsidP="00B320A4">
      <w:pPr>
        <w:spacing w:line="400" w:lineRule="exact"/>
        <w:jc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执行单位</w:t>
      </w:r>
    </w:p>
    <w:p w:rsidR="00B320A4" w:rsidRDefault="00B320A4" w:rsidP="00B320A4">
      <w:pPr>
        <w:jc w:val="center"/>
        <w:rPr>
          <w:rFonts w:ascii="微软雅黑" w:eastAsia="微软雅黑" w:hAnsi="微软雅黑" w:cs="微软雅黑"/>
          <w:b/>
          <w:bCs/>
          <w:sz w:val="28"/>
          <w:szCs w:val="28"/>
        </w:rPr>
      </w:pPr>
      <w:r>
        <w:rPr>
          <w:rFonts w:ascii="微软雅黑" w:eastAsia="微软雅黑" w:hAnsi="微软雅黑" w:cs="微软雅黑" w:hint="eastAsia"/>
          <w:color w:val="000000"/>
          <w:sz w:val="24"/>
        </w:rPr>
        <w:t>武汉华中优</w:t>
      </w:r>
      <w:proofErr w:type="gramStart"/>
      <w:r>
        <w:rPr>
          <w:rFonts w:ascii="微软雅黑" w:eastAsia="微软雅黑" w:hAnsi="微软雅黑" w:cs="微软雅黑" w:hint="eastAsia"/>
          <w:color w:val="000000"/>
          <w:sz w:val="24"/>
        </w:rPr>
        <w:t>优</w:t>
      </w:r>
      <w:proofErr w:type="gramEnd"/>
      <w:r>
        <w:rPr>
          <w:rFonts w:ascii="微软雅黑" w:eastAsia="微软雅黑" w:hAnsi="微软雅黑" w:cs="微软雅黑" w:hint="eastAsia"/>
          <w:color w:val="000000"/>
          <w:sz w:val="24"/>
        </w:rPr>
        <w:t>国际会展有限公司</w:t>
      </w:r>
    </w:p>
    <w:p w:rsidR="00A114E9" w:rsidRDefault="00072AAB">
      <w:pPr>
        <w:spacing w:line="360" w:lineRule="auto"/>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展会概况</w:t>
      </w:r>
    </w:p>
    <w:p w:rsidR="00A114E9" w:rsidRDefault="00072AAB">
      <w:pPr>
        <w:ind w:firstLineChars="200" w:firstLine="480"/>
        <w:rPr>
          <w:rFonts w:ascii="黑体" w:eastAsia="黑体" w:hAnsi="黑体"/>
          <w:sz w:val="24"/>
          <w:szCs w:val="24"/>
        </w:rPr>
      </w:pPr>
      <w:r>
        <w:rPr>
          <w:rFonts w:ascii="黑体" w:eastAsia="黑体" w:hAnsi="黑体" w:hint="eastAsia"/>
          <w:sz w:val="24"/>
          <w:szCs w:val="24"/>
        </w:rPr>
        <w:t>202</w:t>
      </w:r>
      <w:r w:rsidR="00B320A4">
        <w:rPr>
          <w:rFonts w:ascii="黑体" w:eastAsia="黑体" w:hAnsi="黑体" w:hint="eastAsia"/>
          <w:sz w:val="24"/>
          <w:szCs w:val="24"/>
        </w:rPr>
        <w:t>5</w:t>
      </w:r>
      <w:r>
        <w:rPr>
          <w:rFonts w:ascii="黑体" w:eastAsia="黑体" w:hAnsi="黑体" w:hint="eastAsia"/>
          <w:sz w:val="24"/>
          <w:szCs w:val="24"/>
        </w:rPr>
        <w:t>武汉国际</w:t>
      </w:r>
      <w:r w:rsidR="003B5CB1" w:rsidRPr="001A70FE">
        <w:rPr>
          <w:rFonts w:ascii="黑体" w:eastAsia="黑体" w:hAnsi="黑体"/>
          <w:sz w:val="24"/>
        </w:rPr>
        <w:t>智能仓储及物料搬运技术展览会</w:t>
      </w:r>
      <w:r>
        <w:rPr>
          <w:rFonts w:ascii="黑体" w:eastAsia="黑体" w:hAnsi="黑体" w:hint="eastAsia"/>
          <w:sz w:val="24"/>
          <w:szCs w:val="24"/>
        </w:rPr>
        <w:t>由湖北省机械行业联合会、湖北省激光行业协会、北京亚太瑞斯会展服务有限公司联合主办，将于202</w:t>
      </w:r>
      <w:r w:rsidR="00B320A4">
        <w:rPr>
          <w:rFonts w:ascii="黑体" w:eastAsia="黑体" w:hAnsi="黑体" w:hint="eastAsia"/>
          <w:sz w:val="24"/>
          <w:szCs w:val="24"/>
        </w:rPr>
        <w:t>5年10月15-18</w:t>
      </w:r>
      <w:r>
        <w:rPr>
          <w:rFonts w:ascii="黑体" w:eastAsia="黑体" w:hAnsi="黑体" w:hint="eastAsia"/>
          <w:sz w:val="24"/>
          <w:szCs w:val="24"/>
        </w:rPr>
        <w:t>日在武汉国际博览中心举办，为期三天展出时间，更多产品和智能自动化生产技术展览以及更多的参会者！202</w:t>
      </w:r>
      <w:r w:rsidR="00B320A4">
        <w:rPr>
          <w:rFonts w:ascii="黑体" w:eastAsia="黑体" w:hAnsi="黑体" w:hint="eastAsia"/>
          <w:sz w:val="24"/>
          <w:szCs w:val="24"/>
        </w:rPr>
        <w:t>5</w:t>
      </w:r>
      <w:r>
        <w:rPr>
          <w:rFonts w:ascii="黑体" w:eastAsia="黑体" w:hAnsi="黑体" w:hint="eastAsia"/>
          <w:sz w:val="24"/>
          <w:szCs w:val="24"/>
        </w:rPr>
        <w:t>年，</w:t>
      </w:r>
      <w:r w:rsidR="003B5CB1">
        <w:rPr>
          <w:rFonts w:ascii="黑体" w:eastAsia="黑体" w:hAnsi="黑体" w:hint="eastAsia"/>
          <w:sz w:val="24"/>
          <w:szCs w:val="24"/>
        </w:rPr>
        <w:t>本展会</w:t>
      </w:r>
      <w:r>
        <w:rPr>
          <w:rFonts w:ascii="黑体" w:eastAsia="黑体" w:hAnsi="黑体" w:hint="eastAsia"/>
          <w:sz w:val="24"/>
          <w:szCs w:val="24"/>
        </w:rPr>
        <w:t>吸引了来自</w:t>
      </w:r>
      <w:r w:rsidR="00B320A4">
        <w:rPr>
          <w:rFonts w:ascii="黑体" w:eastAsia="黑体" w:hAnsi="黑体" w:hint="eastAsia"/>
          <w:sz w:val="24"/>
          <w:szCs w:val="24"/>
        </w:rPr>
        <w:t>多</w:t>
      </w:r>
      <w:r>
        <w:rPr>
          <w:rFonts w:ascii="黑体" w:eastAsia="黑体" w:hAnsi="黑体" w:hint="eastAsia"/>
          <w:sz w:val="24"/>
          <w:szCs w:val="24"/>
        </w:rPr>
        <w:t>个国家参会者，共同体验了大会主题 — “工业创新，智造未来”，了解</w:t>
      </w:r>
      <w:r w:rsidR="003B5CB1">
        <w:rPr>
          <w:rFonts w:ascii="黑体" w:eastAsia="黑体" w:hAnsi="黑体" w:hint="eastAsia"/>
          <w:sz w:val="24"/>
          <w:szCs w:val="24"/>
        </w:rPr>
        <w:t>只能仓储物流</w:t>
      </w:r>
      <w:r>
        <w:rPr>
          <w:rFonts w:ascii="黑体" w:eastAsia="黑体" w:hAnsi="黑体" w:hint="eastAsia"/>
          <w:sz w:val="24"/>
          <w:szCs w:val="24"/>
        </w:rPr>
        <w:t>对我们国家智能制造的影响，探索与未来工厂的产品和技术。</w:t>
      </w:r>
    </w:p>
    <w:p w:rsidR="003B5CB1" w:rsidRPr="001A70FE" w:rsidRDefault="00072AAB" w:rsidP="003B5CB1">
      <w:pPr>
        <w:spacing w:line="420" w:lineRule="exact"/>
        <w:rPr>
          <w:rFonts w:ascii="黑体" w:eastAsia="黑体" w:hAnsi="黑体"/>
          <w:sz w:val="24"/>
        </w:rPr>
      </w:pPr>
      <w:r>
        <w:rPr>
          <w:rFonts w:ascii="黑体" w:eastAsia="黑体" w:hAnsi="黑体" w:hint="eastAsia"/>
          <w:sz w:val="24"/>
          <w:szCs w:val="24"/>
        </w:rPr>
        <w:t>202</w:t>
      </w:r>
      <w:r w:rsidR="00B320A4">
        <w:rPr>
          <w:rFonts w:ascii="黑体" w:eastAsia="黑体" w:hAnsi="黑体" w:hint="eastAsia"/>
          <w:sz w:val="24"/>
          <w:szCs w:val="24"/>
        </w:rPr>
        <w:t>5</w:t>
      </w:r>
      <w:r>
        <w:rPr>
          <w:rFonts w:ascii="黑体" w:eastAsia="黑体" w:hAnsi="黑体" w:hint="eastAsia"/>
          <w:sz w:val="24"/>
          <w:szCs w:val="24"/>
        </w:rPr>
        <w:t>聚集了业界规模最大、最具影响力</w:t>
      </w:r>
      <w:r w:rsidR="003B5CB1">
        <w:rPr>
          <w:rFonts w:ascii="黑体" w:eastAsia="黑体" w:hAnsi="黑体" w:hint="eastAsia"/>
          <w:sz w:val="24"/>
          <w:szCs w:val="24"/>
        </w:rPr>
        <w:t xml:space="preserve"> 仓储物流、智能仓储、</w:t>
      </w:r>
      <w:r>
        <w:rPr>
          <w:rFonts w:ascii="黑体" w:eastAsia="黑体" w:hAnsi="黑体" w:hint="eastAsia"/>
          <w:sz w:val="24"/>
          <w:szCs w:val="24"/>
        </w:rPr>
        <w:t>工业组装、机器人、自动化设备、传输设备、控制技术、电气系统、工业互联、传动技术、监测设备、装配工具的展商以及汽车、机械、电子、包装、光电、物流、通讯、家电、制药、食品等行业公司高管。 本届2024横跨武汉国际展览中心内的</w:t>
      </w:r>
      <w:r w:rsidR="00B320A4">
        <w:rPr>
          <w:rFonts w:ascii="黑体" w:eastAsia="黑体" w:hAnsi="黑体" w:hint="eastAsia"/>
          <w:sz w:val="24"/>
          <w:szCs w:val="24"/>
        </w:rPr>
        <w:t>6</w:t>
      </w:r>
      <w:r>
        <w:rPr>
          <w:rFonts w:ascii="黑体" w:eastAsia="黑体" w:hAnsi="黑体" w:hint="eastAsia"/>
          <w:sz w:val="24"/>
          <w:szCs w:val="24"/>
        </w:rPr>
        <w:t>个展馆，共容纳约</w:t>
      </w:r>
      <w:r w:rsidR="00B320A4">
        <w:rPr>
          <w:rFonts w:ascii="黑体" w:eastAsia="黑体" w:hAnsi="黑体" w:hint="eastAsia"/>
          <w:sz w:val="24"/>
          <w:szCs w:val="24"/>
        </w:rPr>
        <w:t>600</w:t>
      </w:r>
      <w:r>
        <w:rPr>
          <w:rFonts w:ascii="黑体" w:eastAsia="黑体" w:hAnsi="黑体" w:hint="eastAsia"/>
          <w:sz w:val="24"/>
          <w:szCs w:val="24"/>
        </w:rPr>
        <w:t>多家参展商，展现了来自</w:t>
      </w:r>
      <w:r>
        <w:rPr>
          <w:rFonts w:ascii="黑体" w:eastAsia="黑体" w:hAnsi="黑体" w:hint="eastAsia"/>
          <w:sz w:val="24"/>
          <w:szCs w:val="24"/>
        </w:rPr>
        <w:lastRenderedPageBreak/>
        <w:t>工、装、配及自动化设备领域的企业风采。重点展出来自个别国家、地区及行业的展品。</w:t>
      </w:r>
      <w:r w:rsidR="003B5CB1" w:rsidRPr="001A70FE">
        <w:rPr>
          <w:rFonts w:ascii="黑体" w:eastAsia="黑体" w:hAnsi="黑体"/>
          <w:sz w:val="24"/>
        </w:rPr>
        <w:t>参展商将展出一系列创新的智能仓储解决方案和物料搬运技术。智能立体仓库、AGV自动引导搬运车、RGV穿梭车及码垛机器人将是展会亮点。参观者还将有机会亲身体验最新的安全防护系统和传感器技术。</w:t>
      </w:r>
    </w:p>
    <w:p w:rsidR="003B5CB1" w:rsidRPr="001A70FE" w:rsidRDefault="003B5CB1" w:rsidP="003B5CB1">
      <w:pPr>
        <w:spacing w:line="420" w:lineRule="exact"/>
        <w:rPr>
          <w:rFonts w:ascii="黑体" w:eastAsia="黑体" w:hAnsi="黑体"/>
          <w:sz w:val="24"/>
        </w:rPr>
      </w:pPr>
      <w:r w:rsidRPr="001A70FE">
        <w:rPr>
          <w:rFonts w:ascii="黑体" w:eastAsia="黑体" w:hAnsi="黑体"/>
          <w:sz w:val="24"/>
        </w:rPr>
        <w:t>来自世界各地的参展企业将展示他们的创新产品和技术，包括自动化仓库、智能货架、无人搬运车、物联网传感器等。</w:t>
      </w:r>
    </w:p>
    <w:p w:rsidR="00A114E9" w:rsidRPr="003B5CB1" w:rsidRDefault="00A114E9">
      <w:pPr>
        <w:ind w:firstLineChars="200" w:firstLine="560"/>
        <w:rPr>
          <w:rFonts w:ascii="微软雅黑" w:eastAsia="微软雅黑" w:hAnsi="微软雅黑"/>
          <w:b/>
          <w:bCs/>
          <w:color w:val="002060"/>
          <w:sz w:val="28"/>
          <w:szCs w:val="28"/>
        </w:rPr>
      </w:pPr>
    </w:p>
    <w:p w:rsidR="00A114E9" w:rsidRDefault="00072AAB">
      <w:pPr>
        <w:pStyle w:val="aa"/>
        <w:numPr>
          <w:ilvl w:val="0"/>
          <w:numId w:val="1"/>
        </w:numPr>
        <w:ind w:firstLineChars="0"/>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六大优势</w:t>
      </w:r>
    </w:p>
    <w:p w:rsidR="00A114E9" w:rsidRDefault="00072AAB">
      <w:pPr>
        <w:pStyle w:val="aa"/>
        <w:numPr>
          <w:ilvl w:val="0"/>
          <w:numId w:val="2"/>
        </w:numPr>
        <w:tabs>
          <w:tab w:val="left" w:pos="307"/>
        </w:tabs>
        <w:ind w:firstLineChars="0"/>
        <w:rPr>
          <w:rFonts w:ascii="黑体" w:eastAsia="黑体" w:hAnsi="黑体"/>
          <w:b/>
          <w:bCs/>
          <w:sz w:val="24"/>
          <w:szCs w:val="24"/>
        </w:rPr>
      </w:pPr>
      <w:r>
        <w:rPr>
          <w:rFonts w:ascii="黑体" w:eastAsia="黑体" w:hAnsi="黑体" w:hint="eastAsia"/>
          <w:b/>
          <w:bCs/>
          <w:sz w:val="24"/>
          <w:szCs w:val="24"/>
        </w:rPr>
        <w:tab/>
        <w:t>顺应中西部地区智能制造需求，加速制造业发展</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t>湖北</w:t>
      </w:r>
      <w:r>
        <w:rPr>
          <w:rFonts w:ascii="黑体" w:eastAsia="黑体" w:hAnsi="黑体"/>
          <w:sz w:val="24"/>
          <w:szCs w:val="24"/>
        </w:rPr>
        <w:t>是国家老工业基地之一,装备制造业是湖北的重要支柱产业</w:t>
      </w:r>
      <w:r>
        <w:rPr>
          <w:rFonts w:ascii="黑体" w:eastAsia="黑体" w:hAnsi="黑体" w:hint="eastAsia"/>
          <w:sz w:val="24"/>
          <w:szCs w:val="24"/>
        </w:rPr>
        <w:t>。展会将依托于湖北制造业的政策支持和发展趋势，以及对智能制造市场的极大发展需求，依托展会加速智能技术创新和产业转型升级。</w:t>
      </w:r>
    </w:p>
    <w:p w:rsidR="00A114E9" w:rsidRDefault="00072AAB">
      <w:pPr>
        <w:pStyle w:val="aa"/>
        <w:numPr>
          <w:ilvl w:val="0"/>
          <w:numId w:val="2"/>
        </w:numPr>
        <w:spacing w:line="360" w:lineRule="auto"/>
        <w:ind w:firstLineChars="0"/>
        <w:rPr>
          <w:rFonts w:ascii="黑体" w:eastAsia="黑体" w:hAnsi="黑体"/>
          <w:b/>
          <w:bCs/>
          <w:sz w:val="24"/>
          <w:szCs w:val="24"/>
        </w:rPr>
      </w:pPr>
      <w:r>
        <w:rPr>
          <w:rFonts w:ascii="黑体" w:eastAsia="黑体" w:hAnsi="黑体" w:hint="eastAsia"/>
          <w:b/>
          <w:bCs/>
          <w:sz w:val="24"/>
          <w:szCs w:val="24"/>
        </w:rPr>
        <w:t>技术引领发展，展会迎接“新机遇”</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t>随着智能技术和科技技术的不断发展，工业制造面临着全新的机遇和挑战，出现的新工业情景和新思想证明了工业自动化的内在动力和韧性。譬如,部分工厂快速调整节奏加强智能制造技术的前行、自动化设备的发展、先进制造工艺与跨界科技的遍地开花等，都体现了工业自动化发展趋势。</w:t>
      </w:r>
    </w:p>
    <w:p w:rsidR="00A114E9" w:rsidRDefault="00072AAB">
      <w:pPr>
        <w:pStyle w:val="aa"/>
        <w:numPr>
          <w:ilvl w:val="0"/>
          <w:numId w:val="2"/>
        </w:numPr>
        <w:spacing w:line="360" w:lineRule="auto"/>
        <w:ind w:firstLineChars="0"/>
        <w:rPr>
          <w:rFonts w:ascii="黑体" w:eastAsia="黑体" w:hAnsi="黑体"/>
          <w:b/>
          <w:bCs/>
          <w:sz w:val="24"/>
          <w:szCs w:val="24"/>
        </w:rPr>
      </w:pPr>
      <w:r>
        <w:rPr>
          <w:rFonts w:ascii="黑体" w:eastAsia="黑体" w:hAnsi="黑体" w:hint="eastAsia"/>
          <w:b/>
          <w:bCs/>
          <w:sz w:val="24"/>
          <w:szCs w:val="24"/>
        </w:rPr>
        <w:t>同期活动聚焦前沿技术，打造高效展会平台</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t>展会将以“展”和“会”结合的方式开展，以精彩纷呈的会议和活动为工业制造的专业人士带来全方位的参展体验。展会现场将聚焦于智能制造最新趋势并邀请专家分享，提供面对面的交流机会，打造高效的展会平台。</w:t>
      </w:r>
    </w:p>
    <w:p w:rsidR="00A114E9" w:rsidRDefault="00072AAB">
      <w:pPr>
        <w:pStyle w:val="aa"/>
        <w:numPr>
          <w:ilvl w:val="0"/>
          <w:numId w:val="2"/>
        </w:numPr>
        <w:spacing w:line="360" w:lineRule="auto"/>
        <w:ind w:firstLineChars="0"/>
        <w:rPr>
          <w:rFonts w:ascii="黑体" w:eastAsia="黑体" w:hAnsi="黑体"/>
          <w:b/>
          <w:bCs/>
          <w:sz w:val="24"/>
          <w:szCs w:val="24"/>
        </w:rPr>
      </w:pPr>
      <w:r>
        <w:rPr>
          <w:rFonts w:ascii="黑体" w:eastAsia="黑体" w:hAnsi="黑体" w:hint="eastAsia"/>
          <w:b/>
          <w:bCs/>
          <w:sz w:val="24"/>
          <w:szCs w:val="24"/>
        </w:rPr>
        <w:t>实力企业云集，共赴制造产业盛典</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t>在专业协会的大力支持下，展会将致力于邀请行业内的实力知名企业云集展会现场，携最新自动化技术、产品以及想法亮相展会；以及全面组织买家用户和专业从业者现场参观，齐聚一堂打造最新最全的行业展会，为智能工业及自动化技术注入源源不断的能量。</w:t>
      </w:r>
    </w:p>
    <w:p w:rsidR="00A114E9" w:rsidRDefault="00072AAB">
      <w:pPr>
        <w:pStyle w:val="aa"/>
        <w:numPr>
          <w:ilvl w:val="0"/>
          <w:numId w:val="2"/>
        </w:numPr>
        <w:spacing w:line="360" w:lineRule="auto"/>
        <w:ind w:firstLineChars="0"/>
        <w:rPr>
          <w:rFonts w:ascii="黑体" w:eastAsia="黑体" w:hAnsi="黑体"/>
          <w:b/>
          <w:bCs/>
          <w:sz w:val="24"/>
          <w:szCs w:val="24"/>
        </w:rPr>
      </w:pPr>
      <w:r>
        <w:rPr>
          <w:rFonts w:ascii="黑体" w:eastAsia="黑体" w:hAnsi="黑体" w:hint="eastAsia"/>
          <w:b/>
          <w:bCs/>
          <w:sz w:val="24"/>
          <w:szCs w:val="24"/>
        </w:rPr>
        <w:t>多重参展增值服务，提升制造业市场营销效率</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t>通过展位服务、会议赞助、媒体采访、大数据推广服务等多渠道推广，拓展品牌和产品行销机会，通过商务配对、商务交流沙龙等多元化对接，获取买家需求，</w:t>
      </w:r>
      <w:proofErr w:type="gramStart"/>
      <w:r>
        <w:rPr>
          <w:rFonts w:ascii="黑体" w:eastAsia="黑体" w:hAnsi="黑体" w:hint="eastAsia"/>
          <w:sz w:val="24"/>
          <w:szCs w:val="24"/>
        </w:rPr>
        <w:t>提升获单效率</w:t>
      </w:r>
      <w:proofErr w:type="gramEnd"/>
      <w:r>
        <w:rPr>
          <w:rFonts w:ascii="黑体" w:eastAsia="黑体" w:hAnsi="黑体" w:hint="eastAsia"/>
          <w:sz w:val="24"/>
          <w:szCs w:val="24"/>
        </w:rPr>
        <w:t>。</w:t>
      </w:r>
    </w:p>
    <w:p w:rsidR="00A114E9" w:rsidRDefault="00072AAB">
      <w:pPr>
        <w:pStyle w:val="aa"/>
        <w:numPr>
          <w:ilvl w:val="0"/>
          <w:numId w:val="2"/>
        </w:numPr>
        <w:spacing w:line="360" w:lineRule="auto"/>
        <w:ind w:firstLineChars="0"/>
        <w:rPr>
          <w:rFonts w:ascii="黑体" w:eastAsia="黑体" w:hAnsi="黑体"/>
          <w:b/>
          <w:bCs/>
          <w:sz w:val="24"/>
          <w:szCs w:val="24"/>
        </w:rPr>
      </w:pPr>
      <w:r>
        <w:rPr>
          <w:rFonts w:ascii="黑体" w:eastAsia="黑体" w:hAnsi="黑体" w:hint="eastAsia"/>
          <w:b/>
          <w:bCs/>
          <w:sz w:val="24"/>
          <w:szCs w:val="24"/>
        </w:rPr>
        <w:t>全方位宣传扩大展会的影响力</w:t>
      </w:r>
      <w:r>
        <w:rPr>
          <w:rFonts w:ascii="黑体" w:eastAsia="黑体" w:hAnsi="黑体"/>
          <w:b/>
          <w:bCs/>
          <w:sz w:val="24"/>
          <w:szCs w:val="24"/>
        </w:rPr>
        <w:t xml:space="preserve"> </w:t>
      </w:r>
    </w:p>
    <w:p w:rsidR="00A114E9" w:rsidRDefault="00072AAB">
      <w:pPr>
        <w:spacing w:line="360" w:lineRule="auto"/>
        <w:ind w:leftChars="200" w:left="420"/>
        <w:rPr>
          <w:rFonts w:ascii="黑体" w:eastAsia="黑体" w:hAnsi="黑体"/>
          <w:sz w:val="24"/>
          <w:szCs w:val="24"/>
        </w:rPr>
      </w:pPr>
      <w:r>
        <w:rPr>
          <w:rFonts w:ascii="黑体" w:eastAsia="黑体" w:hAnsi="黑体" w:hint="eastAsia"/>
          <w:sz w:val="24"/>
          <w:szCs w:val="24"/>
        </w:rPr>
        <w:lastRenderedPageBreak/>
        <w:t>展会通过线上和线下的宣传方式相结合，在线上与媒体进行合作推广展会，在专业市场进行广告投放，和专业媒体、专业协会进行合作，以及在自媒体进行运营，通过全方位的运营宣传在业内全面发布展会信息和宣传。</w:t>
      </w:r>
    </w:p>
    <w:p w:rsidR="00A114E9" w:rsidRDefault="00072AAB">
      <w:pPr>
        <w:pStyle w:val="aa"/>
        <w:numPr>
          <w:ilvl w:val="0"/>
          <w:numId w:val="1"/>
        </w:numPr>
        <w:ind w:firstLineChars="0"/>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参展收益</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新品发布与创新产品评奖：与全国乃至全球新品、新技术一起引发自动化制造产业的高度关注，参与权威创新产品评选。</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与各界工业制造的客户直接对接：接触到企业决策者和研发工程师。</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明星效应：与国内外同行业领导厂商同台展示，切磋技术。</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宣传推广：提供新品宣传、一对一采访专稿推广、</w:t>
      </w:r>
      <w:proofErr w:type="gramStart"/>
      <w:r>
        <w:rPr>
          <w:rFonts w:ascii="黑体" w:eastAsia="黑体" w:hAnsi="黑体" w:hint="eastAsia"/>
          <w:sz w:val="24"/>
          <w:szCs w:val="24"/>
        </w:rPr>
        <w:t>微博微信</w:t>
      </w:r>
      <w:proofErr w:type="gramEnd"/>
      <w:r>
        <w:rPr>
          <w:rFonts w:ascii="黑体" w:eastAsia="黑体" w:hAnsi="黑体" w:hint="eastAsia"/>
          <w:sz w:val="24"/>
          <w:szCs w:val="24"/>
        </w:rPr>
        <w:t>推广、广告宣传等大范围、高密度的强势宣传，拓展更多的商业机会。</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立体推广：整合媒体资源，从展会前瞻、展期报道、展后跟踪来为展商提供立体服务。</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目标定位：力争办成“产业集中、行业领先、国际先进”，有影响力的工业制造盛会。</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关注国内自主创新的企业成长；为国内成长性企业拓宽国际国内市场渠道提供平台。</w:t>
      </w:r>
    </w:p>
    <w:p w:rsidR="00A114E9" w:rsidRDefault="00072AAB">
      <w:pPr>
        <w:pStyle w:val="aa"/>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立体化增值服务：展会将通过展会前瞻，展期媒体采访，展后媒体报道来为展商服务。</w:t>
      </w:r>
    </w:p>
    <w:p w:rsidR="003B5CB1" w:rsidRPr="003B5CB1" w:rsidRDefault="003B5CB1" w:rsidP="003B5CB1">
      <w:pPr>
        <w:pStyle w:val="aa"/>
        <w:numPr>
          <w:ilvl w:val="0"/>
          <w:numId w:val="3"/>
        </w:numPr>
        <w:spacing w:line="420" w:lineRule="exact"/>
        <w:ind w:firstLineChars="0"/>
        <w:rPr>
          <w:rFonts w:ascii="黑体" w:eastAsia="黑体" w:hAnsi="黑体"/>
          <w:sz w:val="24"/>
        </w:rPr>
      </w:pPr>
      <w:r w:rsidRPr="003B5CB1">
        <w:rPr>
          <w:rFonts w:ascii="黑体" w:eastAsia="黑体" w:hAnsi="黑体"/>
          <w:sz w:val="24"/>
        </w:rPr>
        <w:t>展会内容将涵盖但不限于以下方面：</w:t>
      </w:r>
    </w:p>
    <w:p w:rsidR="003B5CB1" w:rsidRPr="003B5CB1" w:rsidRDefault="003B5CB1" w:rsidP="003B5CB1">
      <w:pPr>
        <w:pStyle w:val="aa"/>
        <w:spacing w:line="420" w:lineRule="exact"/>
        <w:ind w:left="420" w:firstLineChars="0" w:firstLine="0"/>
        <w:rPr>
          <w:rFonts w:ascii="黑体" w:eastAsia="黑体" w:hAnsi="黑体"/>
          <w:sz w:val="24"/>
        </w:rPr>
      </w:pPr>
      <w:r w:rsidRPr="003B5CB1">
        <w:rPr>
          <w:rFonts w:ascii="黑体" w:eastAsia="黑体" w:hAnsi="黑体"/>
          <w:sz w:val="24"/>
        </w:rPr>
        <w:t>1. 智能仓储系统与自动化技术： 展示最新的智能仓储系统、自动化拣选设备、AGV（自动引导车辆）等技术，提升仓储效率和准确性。</w:t>
      </w:r>
    </w:p>
    <w:p w:rsidR="003B5CB1" w:rsidRPr="003B5CB1" w:rsidRDefault="003B5CB1" w:rsidP="003B5CB1">
      <w:pPr>
        <w:pStyle w:val="aa"/>
        <w:spacing w:line="420" w:lineRule="exact"/>
        <w:ind w:left="420" w:firstLineChars="0" w:firstLine="0"/>
        <w:rPr>
          <w:rFonts w:ascii="黑体" w:eastAsia="黑体" w:hAnsi="黑体"/>
          <w:sz w:val="24"/>
        </w:rPr>
      </w:pPr>
      <w:r w:rsidRPr="003B5CB1">
        <w:rPr>
          <w:rFonts w:ascii="黑体" w:eastAsia="黑体" w:hAnsi="黑体"/>
          <w:sz w:val="24"/>
        </w:rPr>
        <w:t>2. 物联网应用于物流： 探索物联网技术在仓储物流中的应用，实现设备互联互通和数据实时监测。</w:t>
      </w:r>
    </w:p>
    <w:p w:rsidR="003B5CB1" w:rsidRPr="003B5CB1" w:rsidRDefault="003B5CB1" w:rsidP="003B5CB1">
      <w:pPr>
        <w:pStyle w:val="aa"/>
        <w:spacing w:line="420" w:lineRule="exact"/>
        <w:ind w:left="420" w:firstLineChars="0" w:firstLine="0"/>
        <w:rPr>
          <w:rFonts w:ascii="黑体" w:eastAsia="黑体" w:hAnsi="黑体"/>
          <w:sz w:val="24"/>
        </w:rPr>
      </w:pPr>
      <w:r w:rsidRPr="003B5CB1">
        <w:rPr>
          <w:rFonts w:ascii="黑体" w:eastAsia="黑体" w:hAnsi="黑体"/>
          <w:sz w:val="24"/>
        </w:rPr>
        <w:t>3. 机器视觉与人工智能在物流中的应用： 展示机器视觉和人工智能技术在仓储管理和搬运过程中的创新应用，提高工作效率和准确度。</w:t>
      </w:r>
    </w:p>
    <w:p w:rsidR="003B5CB1" w:rsidRPr="003B5CB1" w:rsidRDefault="003B5CB1" w:rsidP="003B5CB1">
      <w:pPr>
        <w:pStyle w:val="aa"/>
        <w:spacing w:line="420" w:lineRule="exact"/>
        <w:ind w:left="420" w:firstLineChars="0" w:firstLine="0"/>
        <w:rPr>
          <w:rFonts w:ascii="黑体" w:eastAsia="黑体" w:hAnsi="黑体"/>
          <w:sz w:val="24"/>
        </w:rPr>
      </w:pPr>
      <w:r w:rsidRPr="003B5CB1">
        <w:rPr>
          <w:rFonts w:ascii="黑体" w:eastAsia="黑体" w:hAnsi="黑体"/>
          <w:sz w:val="24"/>
        </w:rPr>
        <w:t>4. 智能物流解决方案： 展示整合了智能仓储、智能搬运和智能配送的全方位物流解决方案。</w:t>
      </w:r>
    </w:p>
    <w:p w:rsidR="003B5CB1" w:rsidRPr="003B5CB1" w:rsidRDefault="003B5CB1" w:rsidP="003B5CB1">
      <w:pPr>
        <w:spacing w:line="420" w:lineRule="exact"/>
        <w:ind w:firstLineChars="100" w:firstLine="240"/>
        <w:rPr>
          <w:rFonts w:ascii="黑体" w:eastAsia="黑体" w:hAnsi="黑体"/>
          <w:sz w:val="24"/>
        </w:rPr>
      </w:pPr>
      <w:r w:rsidRPr="003B5CB1">
        <w:rPr>
          <w:rFonts w:ascii="黑体" w:eastAsia="黑体" w:hAnsi="黑体"/>
          <w:sz w:val="24"/>
        </w:rPr>
        <w:t>5. 可持续物流发展： 强调可持续物流技术和环保理念在仓储物流中的推动和应用。</w:t>
      </w:r>
    </w:p>
    <w:p w:rsidR="003B5CB1" w:rsidRDefault="003B5CB1" w:rsidP="003B5CB1">
      <w:pPr>
        <w:pStyle w:val="aa"/>
        <w:spacing w:line="420" w:lineRule="exact"/>
        <w:ind w:left="420" w:firstLineChars="0" w:firstLine="0"/>
        <w:rPr>
          <w:rFonts w:ascii="黑体" w:eastAsia="黑体" w:hAnsi="黑体"/>
          <w:sz w:val="24"/>
        </w:rPr>
      </w:pPr>
      <w:r w:rsidRPr="003B5CB1">
        <w:rPr>
          <w:rFonts w:ascii="微软雅黑" w:eastAsia="微软雅黑" w:hAnsi="微软雅黑" w:hint="eastAsia"/>
          <w:b/>
          <w:bCs/>
          <w:color w:val="002060"/>
          <w:sz w:val="28"/>
          <w:szCs w:val="28"/>
        </w:rPr>
        <w:t>招展范围</w:t>
      </w:r>
      <w:r w:rsidRPr="003B5CB1">
        <w:rPr>
          <w:rFonts w:ascii="黑体" w:eastAsia="黑体" w:hAnsi="黑体" w:hint="eastAsia"/>
          <w:sz w:val="24"/>
        </w:rPr>
        <w:t>：</w:t>
      </w:r>
    </w:p>
    <w:p w:rsidR="00AA7119" w:rsidRDefault="00AA7119" w:rsidP="003B5CB1">
      <w:pPr>
        <w:pStyle w:val="aa"/>
        <w:spacing w:line="420" w:lineRule="exact"/>
        <w:ind w:left="420" w:firstLineChars="0" w:firstLine="0"/>
        <w:rPr>
          <w:rFonts w:ascii="黑体" w:eastAsia="黑体" w:hAnsi="黑体"/>
          <w:sz w:val="24"/>
        </w:rPr>
      </w:pPr>
    </w:p>
    <w:p w:rsidR="00AA7119" w:rsidRPr="009634F8" w:rsidRDefault="00AA7119" w:rsidP="00AA7119">
      <w:pPr>
        <w:widowControl/>
        <w:jc w:val="left"/>
        <w:rPr>
          <w:rFonts w:ascii="黑体" w:eastAsia="黑体" w:hAnsi="黑体"/>
          <w:sz w:val="24"/>
        </w:rPr>
      </w:pPr>
      <w:r w:rsidRPr="00AA7119">
        <w:rPr>
          <w:rFonts w:ascii="黑体" w:eastAsia="黑体" w:hAnsi="黑体"/>
          <w:sz w:val="24"/>
        </w:rPr>
        <w:t>1. 仓储系统：智能仓储解决方案，智能立体仓库，仓储用品，货架系统，工业门及货梯，清洁设备及系统，通风设备，空调及照明系统，安全及防护系统，传感器及感应系统，托盘，滚轮，料箱，仓库办公室设备,仓库建设、租赁及服务。</w:t>
      </w:r>
      <w:r w:rsidRPr="009634F8">
        <w:rPr>
          <w:rFonts w:ascii="黑体" w:eastAsia="黑体" w:hAnsi="黑体"/>
          <w:sz w:val="24"/>
        </w:rPr>
        <w:t>包括自动化分拣系统、自动化仓库管理系统、自动化运输设备等物流及仓储自动化方案。</w:t>
      </w:r>
    </w:p>
    <w:p w:rsidR="00AA7119" w:rsidRPr="00AA7119" w:rsidRDefault="00AA7119" w:rsidP="00AA7119">
      <w:pPr>
        <w:pStyle w:val="ab"/>
        <w:shd w:val="clear" w:color="auto" w:fill="FFFFFF"/>
        <w:spacing w:before="0" w:beforeAutospacing="0" w:after="0" w:afterAutospacing="0"/>
        <w:textAlignment w:val="baseline"/>
        <w:rPr>
          <w:rFonts w:ascii="黑体" w:eastAsia="黑体" w:hAnsi="黑体"/>
        </w:rPr>
      </w:pPr>
    </w:p>
    <w:p w:rsidR="00AA7119" w:rsidRPr="00AA7119" w:rsidRDefault="00AA7119" w:rsidP="00AA7119">
      <w:pPr>
        <w:pStyle w:val="ab"/>
        <w:shd w:val="clear" w:color="auto" w:fill="FFFFFF"/>
        <w:spacing w:before="0" w:beforeAutospacing="0" w:after="0" w:afterAutospacing="0"/>
        <w:textAlignment w:val="baseline"/>
        <w:rPr>
          <w:rFonts w:ascii="黑体" w:eastAsia="黑体" w:hAnsi="黑体"/>
        </w:rPr>
      </w:pPr>
      <w:r w:rsidRPr="00AA7119">
        <w:rPr>
          <w:rFonts w:ascii="黑体" w:eastAsia="黑体" w:hAnsi="黑体"/>
        </w:rPr>
        <w:lastRenderedPageBreak/>
        <w:t>2. 物料搬运设备：AGV自动引导搬运车，RGV穿梭车，</w:t>
      </w:r>
      <w:bookmarkStart w:id="0" w:name="_GoBack"/>
      <w:bookmarkEnd w:id="0"/>
      <w:r w:rsidRPr="00AA7119">
        <w:rPr>
          <w:rFonts w:ascii="黑体" w:eastAsia="黑体" w:hAnsi="黑体"/>
        </w:rPr>
        <w:t>搬运及输送系统，叉车，拖车，牵引车，码垛机器人，搬运机器人，电池电源及充电设备，起重装卸设备，升降设备，移动平台，液压平台，物流无人机，驱动技术，机械手，附件及配件。</w:t>
      </w:r>
    </w:p>
    <w:p w:rsidR="00AA7119" w:rsidRPr="00AA7119" w:rsidRDefault="00AA7119" w:rsidP="00AA7119">
      <w:pPr>
        <w:pStyle w:val="ab"/>
        <w:shd w:val="clear" w:color="auto" w:fill="FFFFFF"/>
        <w:spacing w:before="0" w:beforeAutospacing="0" w:after="0" w:afterAutospacing="0"/>
        <w:textAlignment w:val="baseline"/>
        <w:rPr>
          <w:rFonts w:ascii="黑体" w:eastAsia="黑体" w:hAnsi="黑体"/>
        </w:rPr>
      </w:pPr>
      <w:r w:rsidRPr="00AA7119">
        <w:rPr>
          <w:rFonts w:ascii="黑体" w:eastAsia="黑体" w:hAnsi="黑体"/>
        </w:rPr>
        <w:t>3. 包装称重及拣选设备：自动订单拣选系统，智能分拣系统，标签及条形码技术，吊装机器人，包装材料及技术，称重设与测量，自动识别技术，语音及RFID技术。</w:t>
      </w:r>
      <w:r w:rsidR="00505A5D" w:rsidRPr="00AA7119">
        <w:rPr>
          <w:rFonts w:ascii="黑体" w:eastAsia="黑体" w:hAnsi="黑体"/>
        </w:rPr>
        <w:t>传输系统、伸缩机、自动码垛系统、称重设备、测量系统及设备、安检机、捆绑技术、自动出货系统等；</w:t>
      </w:r>
    </w:p>
    <w:p w:rsidR="00AA7119" w:rsidRDefault="00AA7119" w:rsidP="00AA7119">
      <w:pPr>
        <w:pStyle w:val="ab"/>
        <w:shd w:val="clear" w:color="auto" w:fill="FFFFFF"/>
        <w:spacing w:before="0" w:beforeAutospacing="0" w:after="0" w:afterAutospacing="0"/>
        <w:textAlignment w:val="baseline"/>
        <w:rPr>
          <w:rFonts w:ascii="黑体" w:eastAsia="黑体" w:hAnsi="黑体"/>
        </w:rPr>
      </w:pPr>
      <w:r w:rsidRPr="00AA7119">
        <w:rPr>
          <w:rFonts w:ascii="黑体" w:eastAsia="黑体" w:hAnsi="黑体"/>
        </w:rPr>
        <w:t>4. 厂内物流及其他：智能工厂及厂内物流解决方案，工业机器人及自动化技术，汽车零部件搬运及仓储物流解决方案，电商与快递快运服务，物联网（IoT），供应链，数据及软件，信息化系统。</w:t>
      </w:r>
      <w:r w:rsidRPr="009634F8">
        <w:rPr>
          <w:rFonts w:ascii="黑体" w:eastAsia="黑体" w:hAnsi="黑体"/>
        </w:rPr>
        <w:t>包括工业机器人、自动化生产线、自动化控制系统、传感器、执行器、PLC等自动化设备及配件。</w:t>
      </w:r>
    </w:p>
    <w:p w:rsidR="00AA7119" w:rsidRDefault="00AA7119" w:rsidP="00AA7119">
      <w:pPr>
        <w:pStyle w:val="ab"/>
        <w:shd w:val="clear" w:color="auto" w:fill="FFFFFF"/>
        <w:spacing w:before="0" w:beforeAutospacing="0" w:after="0" w:afterAutospacing="0"/>
        <w:textAlignment w:val="baseline"/>
        <w:rPr>
          <w:rFonts w:ascii="微软雅黑" w:eastAsia="微软雅黑" w:hAnsi="微软雅黑"/>
          <w:color w:val="222222"/>
          <w:sz w:val="27"/>
          <w:szCs w:val="27"/>
        </w:rPr>
      </w:pPr>
      <w:r>
        <w:rPr>
          <w:rFonts w:ascii="黑体" w:eastAsia="黑体" w:hAnsi="黑体"/>
        </w:rPr>
        <w:t>5,</w:t>
      </w:r>
      <w:r w:rsidRPr="009634F8">
        <w:rPr>
          <w:rFonts w:ascii="黑体" w:eastAsia="黑体" w:hAnsi="黑体"/>
        </w:rPr>
        <w:t>3D打印</w:t>
      </w:r>
      <w:proofErr w:type="gramStart"/>
      <w:r w:rsidRPr="009634F8">
        <w:rPr>
          <w:rFonts w:ascii="黑体" w:eastAsia="黑体" w:hAnsi="黑体"/>
        </w:rPr>
        <w:t>及增材制造</w:t>
      </w:r>
      <w:proofErr w:type="gramEnd"/>
      <w:r w:rsidRPr="009634F8">
        <w:rPr>
          <w:rFonts w:ascii="黑体" w:eastAsia="黑体" w:hAnsi="黑体"/>
        </w:rPr>
        <w:t>：涉及到3D打印、</w:t>
      </w:r>
      <w:proofErr w:type="gramStart"/>
      <w:r w:rsidRPr="009634F8">
        <w:rPr>
          <w:rFonts w:ascii="黑体" w:eastAsia="黑体" w:hAnsi="黑体"/>
        </w:rPr>
        <w:t>增材制造</w:t>
      </w:r>
      <w:proofErr w:type="gramEnd"/>
      <w:r w:rsidRPr="009634F8">
        <w:rPr>
          <w:rFonts w:ascii="黑体" w:eastAsia="黑体" w:hAnsi="黑体"/>
        </w:rPr>
        <w:t>、激光切割等新兴技术及应用。</w:t>
      </w:r>
    </w:p>
    <w:p w:rsidR="00932DAE" w:rsidRDefault="00932DAE" w:rsidP="00932DAE">
      <w:pPr>
        <w:pStyle w:val="ab"/>
        <w:shd w:val="clear" w:color="auto" w:fill="FFFFFF"/>
        <w:spacing w:before="0" w:beforeAutospacing="0" w:after="0" w:afterAutospacing="0"/>
        <w:ind w:left="900"/>
        <w:textAlignment w:val="baseline"/>
        <w:rPr>
          <w:rFonts w:ascii="微软雅黑" w:eastAsia="微软雅黑" w:hAnsi="微软雅黑"/>
          <w:color w:val="222222"/>
          <w:sz w:val="27"/>
          <w:szCs w:val="27"/>
        </w:rPr>
      </w:pPr>
      <w:r>
        <w:rPr>
          <w:rFonts w:ascii="inherit" w:eastAsia="微软雅黑" w:hAnsi="inherit"/>
          <w:b/>
          <w:bCs/>
          <w:color w:val="222222"/>
          <w:sz w:val="27"/>
          <w:szCs w:val="27"/>
          <w:bdr w:val="none" w:sz="0" w:space="0" w:color="auto" w:frame="1"/>
        </w:rPr>
        <w:t>同期活动</w:t>
      </w:r>
    </w:p>
    <w:p w:rsidR="00AA7119" w:rsidRDefault="00932DAE" w:rsidP="00932DAE">
      <w:pPr>
        <w:pStyle w:val="ab"/>
        <w:shd w:val="clear" w:color="auto" w:fill="FFFFFF"/>
        <w:spacing w:before="0" w:beforeAutospacing="0" w:after="0" w:afterAutospacing="0"/>
        <w:ind w:left="900"/>
        <w:textAlignment w:val="baseline"/>
        <w:rPr>
          <w:rFonts w:ascii="黑体" w:eastAsia="黑体" w:hAnsi="黑体" w:cstheme="minorBidi"/>
          <w:kern w:val="2"/>
          <w:szCs w:val="22"/>
        </w:rPr>
      </w:pPr>
      <w:r w:rsidRPr="00AA7119">
        <w:rPr>
          <w:rFonts w:ascii="黑体" w:eastAsia="黑体" w:hAnsi="黑体" w:cstheme="minorBidi"/>
          <w:kern w:val="2"/>
          <w:szCs w:val="22"/>
        </w:rPr>
        <w:t xml:space="preserve">■物流仓储协同创新发展高峰论坛 </w:t>
      </w:r>
    </w:p>
    <w:p w:rsidR="00932DAE" w:rsidRPr="00AA7119" w:rsidRDefault="00932DAE" w:rsidP="00932DAE">
      <w:pPr>
        <w:pStyle w:val="ab"/>
        <w:shd w:val="clear" w:color="auto" w:fill="FFFFFF"/>
        <w:spacing w:before="0" w:beforeAutospacing="0" w:after="0" w:afterAutospacing="0"/>
        <w:ind w:left="900"/>
        <w:textAlignment w:val="baseline"/>
        <w:rPr>
          <w:rFonts w:ascii="黑体" w:eastAsia="黑体" w:hAnsi="黑体" w:cstheme="minorBidi"/>
          <w:kern w:val="2"/>
          <w:szCs w:val="22"/>
        </w:rPr>
      </w:pPr>
      <w:r w:rsidRPr="00AA7119">
        <w:rPr>
          <w:rFonts w:ascii="黑体" w:eastAsia="黑体" w:hAnsi="黑体" w:cstheme="minorBidi"/>
          <w:kern w:val="2"/>
          <w:szCs w:val="22"/>
        </w:rPr>
        <w:t>■AGV技术产业在智能仓储中的应用</w:t>
      </w:r>
    </w:p>
    <w:p w:rsidR="00AA7119" w:rsidRDefault="00932DAE" w:rsidP="00932DAE">
      <w:pPr>
        <w:pStyle w:val="ab"/>
        <w:shd w:val="clear" w:color="auto" w:fill="FFFFFF"/>
        <w:spacing w:before="0" w:beforeAutospacing="0" w:after="0" w:afterAutospacing="0"/>
        <w:ind w:left="900"/>
        <w:textAlignment w:val="baseline"/>
        <w:rPr>
          <w:rFonts w:ascii="黑体" w:eastAsia="黑体" w:hAnsi="黑体" w:cstheme="minorBidi"/>
          <w:kern w:val="2"/>
          <w:szCs w:val="22"/>
        </w:rPr>
      </w:pPr>
      <w:r w:rsidRPr="00AA7119">
        <w:rPr>
          <w:rFonts w:ascii="黑体" w:eastAsia="黑体" w:hAnsi="黑体" w:cstheme="minorBidi"/>
          <w:kern w:val="2"/>
          <w:szCs w:val="22"/>
        </w:rPr>
        <w:t xml:space="preserve">■物料搬运与厂内物流解决方案 </w:t>
      </w:r>
    </w:p>
    <w:p w:rsidR="00932DAE" w:rsidRPr="00AA7119" w:rsidRDefault="00932DAE" w:rsidP="00932DAE">
      <w:pPr>
        <w:pStyle w:val="ab"/>
        <w:shd w:val="clear" w:color="auto" w:fill="FFFFFF"/>
        <w:spacing w:before="0" w:beforeAutospacing="0" w:after="0" w:afterAutospacing="0"/>
        <w:ind w:left="900"/>
        <w:textAlignment w:val="baseline"/>
        <w:rPr>
          <w:rFonts w:ascii="黑体" w:eastAsia="黑体" w:hAnsi="黑体" w:cstheme="minorBidi"/>
          <w:kern w:val="2"/>
          <w:szCs w:val="22"/>
        </w:rPr>
      </w:pPr>
      <w:r w:rsidRPr="00AA7119">
        <w:rPr>
          <w:rFonts w:ascii="黑体" w:eastAsia="黑体" w:hAnsi="黑体" w:cstheme="minorBidi"/>
          <w:kern w:val="2"/>
          <w:szCs w:val="22"/>
        </w:rPr>
        <w:t>■供应链与电商配送管理创新系统</w:t>
      </w:r>
    </w:p>
    <w:p w:rsidR="00932DAE" w:rsidRPr="00AA7119" w:rsidRDefault="00932DAE" w:rsidP="00932DAE">
      <w:pPr>
        <w:pStyle w:val="ab"/>
        <w:shd w:val="clear" w:color="auto" w:fill="FFFFFF"/>
        <w:spacing w:before="0" w:beforeAutospacing="0" w:after="0" w:afterAutospacing="0"/>
        <w:ind w:left="900"/>
        <w:textAlignment w:val="baseline"/>
        <w:rPr>
          <w:rFonts w:ascii="黑体" w:eastAsia="黑体" w:hAnsi="黑体" w:cstheme="minorBidi"/>
          <w:kern w:val="2"/>
          <w:szCs w:val="22"/>
        </w:rPr>
      </w:pPr>
      <w:r w:rsidRPr="00AA7119">
        <w:rPr>
          <w:rFonts w:ascii="黑体" w:eastAsia="黑体" w:hAnsi="黑体" w:cstheme="minorBidi"/>
          <w:kern w:val="2"/>
          <w:szCs w:val="22"/>
        </w:rPr>
        <w:t>■汽车零部件搬运及仓储物流解决方案</w:t>
      </w:r>
    </w:p>
    <w:p w:rsidR="00A114E9" w:rsidRDefault="00072AAB">
      <w:pPr>
        <w:pStyle w:val="aa"/>
        <w:numPr>
          <w:ilvl w:val="0"/>
          <w:numId w:val="4"/>
        </w:numPr>
        <w:spacing w:line="360" w:lineRule="auto"/>
        <w:ind w:firstLineChars="0"/>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日程安排</w:t>
      </w:r>
    </w:p>
    <w:p w:rsidR="00B320A4" w:rsidRPr="00B320A4" w:rsidRDefault="00B320A4" w:rsidP="00B320A4">
      <w:pPr>
        <w:pStyle w:val="aa"/>
        <w:numPr>
          <w:ilvl w:val="0"/>
          <w:numId w:val="4"/>
        </w:numPr>
        <w:spacing w:line="440" w:lineRule="exact"/>
        <w:ind w:firstLineChars="0"/>
        <w:rPr>
          <w:rFonts w:ascii="微软雅黑" w:eastAsia="微软雅黑" w:hAnsi="微软雅黑" w:cs="微软雅黑"/>
          <w:sz w:val="22"/>
        </w:rPr>
      </w:pPr>
      <w:r w:rsidRPr="00B320A4">
        <w:rPr>
          <w:rFonts w:ascii="微软雅黑" w:eastAsia="微软雅黑" w:hAnsi="微软雅黑" w:cs="微软雅黑" w:hint="eastAsia"/>
          <w:sz w:val="22"/>
        </w:rPr>
        <w:t xml:space="preserve">布展时间：2025年10月12（周日）-14日（周一）（9:00-16:30） </w:t>
      </w:r>
    </w:p>
    <w:p w:rsidR="00B320A4" w:rsidRPr="00B320A4" w:rsidRDefault="00B320A4" w:rsidP="00B320A4">
      <w:pPr>
        <w:pStyle w:val="aa"/>
        <w:numPr>
          <w:ilvl w:val="0"/>
          <w:numId w:val="4"/>
        </w:numPr>
        <w:spacing w:line="440" w:lineRule="exact"/>
        <w:ind w:firstLineChars="0"/>
        <w:rPr>
          <w:rFonts w:ascii="微软雅黑" w:eastAsia="微软雅黑" w:hAnsi="微软雅黑" w:cs="微软雅黑"/>
          <w:sz w:val="22"/>
        </w:rPr>
      </w:pPr>
      <w:r w:rsidRPr="00B320A4">
        <w:rPr>
          <w:rFonts w:ascii="微软雅黑" w:eastAsia="微软雅黑" w:hAnsi="微软雅黑" w:cs="微软雅黑" w:hint="eastAsia"/>
          <w:sz w:val="22"/>
        </w:rPr>
        <w:t>开幕时间：2025年10月15日（周二）（9:30）</w:t>
      </w:r>
    </w:p>
    <w:p w:rsidR="00B320A4" w:rsidRPr="00B320A4" w:rsidRDefault="00B320A4" w:rsidP="00B320A4">
      <w:pPr>
        <w:pStyle w:val="aa"/>
        <w:numPr>
          <w:ilvl w:val="0"/>
          <w:numId w:val="4"/>
        </w:numPr>
        <w:spacing w:line="440" w:lineRule="exact"/>
        <w:ind w:firstLineChars="0"/>
        <w:rPr>
          <w:rFonts w:ascii="微软雅黑" w:eastAsia="微软雅黑" w:hAnsi="微软雅黑" w:cs="微软雅黑"/>
          <w:sz w:val="22"/>
        </w:rPr>
      </w:pPr>
      <w:r w:rsidRPr="00B320A4">
        <w:rPr>
          <w:rFonts w:ascii="微软雅黑" w:eastAsia="微软雅黑" w:hAnsi="微软雅黑" w:cs="微软雅黑" w:hint="eastAsia"/>
          <w:sz w:val="22"/>
        </w:rPr>
        <w:t xml:space="preserve">展出时间：2025年10月15（周二）-18日（周六）（9:00-16:30） </w:t>
      </w:r>
    </w:p>
    <w:p w:rsidR="00B320A4" w:rsidRPr="00B320A4" w:rsidRDefault="00B320A4" w:rsidP="00B320A4">
      <w:pPr>
        <w:pStyle w:val="aa"/>
        <w:numPr>
          <w:ilvl w:val="0"/>
          <w:numId w:val="4"/>
        </w:numPr>
        <w:spacing w:line="440" w:lineRule="exact"/>
        <w:ind w:firstLineChars="0"/>
        <w:rPr>
          <w:rFonts w:ascii="微软雅黑" w:eastAsia="微软雅黑" w:hAnsi="微软雅黑" w:cs="微软雅黑"/>
          <w:sz w:val="22"/>
        </w:rPr>
      </w:pPr>
      <w:r w:rsidRPr="00B320A4">
        <w:rPr>
          <w:rFonts w:ascii="微软雅黑" w:eastAsia="微软雅黑" w:hAnsi="微软雅黑" w:cs="微软雅黑" w:hint="eastAsia"/>
          <w:sz w:val="22"/>
        </w:rPr>
        <w:t>闭幕时间：2025年10月18日（周六）（14:00）</w:t>
      </w:r>
    </w:p>
    <w:p w:rsidR="00A114E9" w:rsidRDefault="00072AAB">
      <w:pPr>
        <w:pStyle w:val="aa"/>
        <w:numPr>
          <w:ilvl w:val="0"/>
          <w:numId w:val="1"/>
        </w:numPr>
        <w:ind w:firstLineChars="0"/>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收费标准</w:t>
      </w:r>
    </w:p>
    <w:p w:rsidR="00B320A4" w:rsidRDefault="00072AAB" w:rsidP="00B320A4">
      <w:pPr>
        <w:spacing w:beforeLines="50" w:before="156" w:afterLines="50" w:after="156" w:line="400" w:lineRule="exact"/>
        <w:jc w:val="left"/>
        <w:rPr>
          <w:rFonts w:ascii="黑体" w:eastAsia="黑体" w:hAnsi="黑体" w:cs="黑体"/>
          <w:b/>
          <w:bCs/>
          <w:sz w:val="24"/>
          <w:szCs w:val="32"/>
        </w:rPr>
      </w:pPr>
      <w:bookmarkStart w:id="1" w:name="_Hlk111704879"/>
      <w:r>
        <w:rPr>
          <w:rFonts w:ascii="黑体" w:eastAsia="黑体" w:hAnsi="黑体" w:hint="eastAsia"/>
          <w:b/>
          <w:bCs/>
          <w:sz w:val="24"/>
          <w:szCs w:val="24"/>
        </w:rPr>
        <w:t>一、</w:t>
      </w:r>
      <w:bookmarkEnd w:id="1"/>
      <w:r w:rsidR="00B320A4">
        <w:rPr>
          <w:rFonts w:ascii="黑体" w:eastAsia="黑体" w:hAnsi="黑体" w:cs="黑体" w:hint="eastAsia"/>
          <w:b/>
          <w:bCs/>
          <w:sz w:val="24"/>
          <w:szCs w:val="32"/>
        </w:rPr>
        <w:t>参展费用</w:t>
      </w:r>
    </w:p>
    <w:tbl>
      <w:tblPr>
        <w:tblW w:w="10058" w:type="dxa"/>
        <w:tblInd w:w="93" w:type="dxa"/>
        <w:tblLayout w:type="fixed"/>
        <w:tblLook w:val="04A0" w:firstRow="1" w:lastRow="0" w:firstColumn="1" w:lastColumn="0" w:noHBand="0" w:noVBand="1"/>
      </w:tblPr>
      <w:tblGrid>
        <w:gridCol w:w="1166"/>
        <w:gridCol w:w="3250"/>
        <w:gridCol w:w="5642"/>
      </w:tblGrid>
      <w:tr w:rsidR="00B320A4" w:rsidTr="00A90D38">
        <w:trPr>
          <w:trHeight w:val="697"/>
        </w:trPr>
        <w:tc>
          <w:tcPr>
            <w:tcW w:w="1166" w:type="dxa"/>
            <w:vMerge w:val="restart"/>
            <w:tcBorders>
              <w:top w:val="single" w:sz="4" w:space="0" w:color="FFFFFF"/>
              <w:left w:val="single" w:sz="4" w:space="0" w:color="4874CB"/>
              <w:bottom w:val="single" w:sz="4" w:space="0" w:color="FFFFFF"/>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kern w:val="0"/>
                <w:szCs w:val="21"/>
                <w:lang w:bidi="ar"/>
              </w:rPr>
            </w:pPr>
            <w:r>
              <w:rPr>
                <w:rFonts w:ascii="黑体" w:eastAsia="黑体" w:hAnsi="黑体" w:cs="黑体" w:hint="eastAsia"/>
                <w:b/>
                <w:bCs/>
                <w:color w:val="FFFFFF"/>
                <w:kern w:val="0"/>
                <w:szCs w:val="21"/>
                <w:lang w:bidi="ar"/>
              </w:rPr>
              <w:t>国内</w:t>
            </w:r>
          </w:p>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t>企业</w:t>
            </w:r>
          </w:p>
        </w:tc>
        <w:tc>
          <w:tcPr>
            <w:tcW w:w="3250" w:type="dxa"/>
            <w:tcBorders>
              <w:top w:val="single" w:sz="4" w:space="0" w:color="91AADF"/>
              <w:left w:val="single" w:sz="4" w:space="0" w:color="4874CB"/>
              <w:bottom w:val="single" w:sz="4" w:space="0" w:color="91AADF"/>
              <w:right w:val="single" w:sz="4" w:space="0" w:color="91AADF"/>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标准展位（3m*3m=9㎡）</w:t>
            </w:r>
          </w:p>
        </w:tc>
        <w:tc>
          <w:tcPr>
            <w:tcW w:w="5642" w:type="dxa"/>
            <w:tcBorders>
              <w:top w:val="single" w:sz="4" w:space="0" w:color="91AADF"/>
              <w:left w:val="single" w:sz="4" w:space="0" w:color="91AADF"/>
              <w:bottom w:val="single" w:sz="4" w:space="0" w:color="91AADF"/>
              <w:right w:val="single" w:sz="4" w:space="0" w:color="4874CB"/>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标准配置¥8800/9㎡</w:t>
            </w:r>
          </w:p>
        </w:tc>
      </w:tr>
      <w:tr w:rsidR="00B320A4" w:rsidTr="00A90D38">
        <w:trPr>
          <w:trHeight w:val="543"/>
        </w:trPr>
        <w:tc>
          <w:tcPr>
            <w:tcW w:w="1166" w:type="dxa"/>
            <w:vMerge/>
            <w:tcBorders>
              <w:top w:val="single" w:sz="4" w:space="0" w:color="FFFFFF"/>
              <w:left w:val="single" w:sz="4" w:space="0" w:color="4874CB"/>
              <w:bottom w:val="single" w:sz="4" w:space="0" w:color="FFFFFF"/>
              <w:right w:val="single" w:sz="4" w:space="0" w:color="4874CB"/>
            </w:tcBorders>
            <w:shd w:val="clear" w:color="4874CB" w:fill="4874CB"/>
            <w:noWrap/>
            <w:vAlign w:val="center"/>
          </w:tcPr>
          <w:p w:rsidR="00B320A4" w:rsidRDefault="00B320A4" w:rsidP="00A90D38">
            <w:pPr>
              <w:jc w:val="center"/>
              <w:rPr>
                <w:rFonts w:ascii="黑体" w:eastAsia="黑体" w:hAnsi="黑体" w:cs="黑体"/>
                <w:b/>
                <w:bCs/>
                <w:color w:val="FFFFFF"/>
                <w:szCs w:val="21"/>
              </w:rPr>
            </w:pPr>
          </w:p>
        </w:tc>
        <w:tc>
          <w:tcPr>
            <w:tcW w:w="3250" w:type="dxa"/>
            <w:tcBorders>
              <w:top w:val="single" w:sz="4" w:space="0" w:color="91AADF"/>
              <w:left w:val="single" w:sz="4" w:space="0" w:color="4874CB"/>
              <w:bottom w:val="single" w:sz="4" w:space="0" w:color="91AADF"/>
              <w:right w:val="single" w:sz="4" w:space="0" w:color="91AADF"/>
            </w:tcBorders>
            <w:shd w:val="clear" w:color="D9E1F4"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室内光地</w:t>
            </w:r>
          </w:p>
        </w:tc>
        <w:tc>
          <w:tcPr>
            <w:tcW w:w="5642" w:type="dxa"/>
            <w:tcBorders>
              <w:top w:val="single" w:sz="4" w:space="0" w:color="91AADF"/>
              <w:left w:val="single" w:sz="4" w:space="0" w:color="91AADF"/>
              <w:bottom w:val="single" w:sz="4" w:space="0" w:color="91AADF"/>
              <w:right w:val="single" w:sz="4" w:space="0" w:color="4874CB"/>
            </w:tcBorders>
            <w:shd w:val="clear" w:color="D9E1F4"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¥880元/㎡ （光地自行设计搭建，无任何配置）</w:t>
            </w:r>
          </w:p>
        </w:tc>
      </w:tr>
      <w:tr w:rsidR="00B320A4" w:rsidTr="00A90D38">
        <w:trPr>
          <w:trHeight w:val="547"/>
        </w:trPr>
        <w:tc>
          <w:tcPr>
            <w:tcW w:w="1166" w:type="dxa"/>
            <w:vMerge w:val="restart"/>
            <w:tcBorders>
              <w:top w:val="single" w:sz="4" w:space="0" w:color="FFFFFF"/>
              <w:left w:val="single" w:sz="4" w:space="0" w:color="4874CB"/>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kern w:val="0"/>
                <w:szCs w:val="21"/>
                <w:lang w:bidi="ar"/>
              </w:rPr>
            </w:pPr>
            <w:r>
              <w:rPr>
                <w:rFonts w:ascii="黑体" w:eastAsia="黑体" w:hAnsi="黑体" w:cs="黑体" w:hint="eastAsia"/>
                <w:b/>
                <w:bCs/>
                <w:color w:val="FFFFFF"/>
                <w:kern w:val="0"/>
                <w:szCs w:val="21"/>
                <w:lang w:bidi="ar"/>
              </w:rPr>
              <w:t>外资</w:t>
            </w:r>
          </w:p>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t>企业</w:t>
            </w:r>
          </w:p>
        </w:tc>
        <w:tc>
          <w:tcPr>
            <w:tcW w:w="3250" w:type="dxa"/>
            <w:tcBorders>
              <w:top w:val="single" w:sz="4" w:space="0" w:color="91AADF"/>
              <w:left w:val="single" w:sz="4" w:space="0" w:color="4874CB"/>
              <w:bottom w:val="single" w:sz="4" w:space="0" w:color="91AADF"/>
              <w:right w:val="single" w:sz="4" w:space="0" w:color="91AADF"/>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标准展位（3m*3m=9㎡）</w:t>
            </w:r>
          </w:p>
        </w:tc>
        <w:tc>
          <w:tcPr>
            <w:tcW w:w="5642" w:type="dxa"/>
            <w:tcBorders>
              <w:top w:val="single" w:sz="4" w:space="0" w:color="91AADF"/>
              <w:left w:val="single" w:sz="4" w:space="0" w:color="91AADF"/>
              <w:bottom w:val="single" w:sz="4" w:space="0" w:color="91AADF"/>
              <w:right w:val="single" w:sz="4" w:space="0" w:color="4874CB"/>
            </w:tcBorders>
            <w:shd w:val="clear" w:color="auto" w:fill="auto"/>
            <w:noWrap/>
            <w:vAlign w:val="center"/>
          </w:tcPr>
          <w:p w:rsidR="00B320A4" w:rsidRDefault="00B320A4" w:rsidP="00A90D38">
            <w:pPr>
              <w:jc w:val="center"/>
              <w:rPr>
                <w:rFonts w:ascii="黑体" w:eastAsia="黑体" w:hAnsi="黑体" w:cs="黑体"/>
                <w:color w:val="000000"/>
                <w:szCs w:val="21"/>
              </w:rPr>
            </w:pPr>
            <w:r>
              <w:rPr>
                <w:rFonts w:ascii="黑体" w:eastAsia="黑体" w:hAnsi="黑体" w:cs="黑体" w:hint="eastAsia"/>
                <w:color w:val="000000"/>
                <w:kern w:val="0"/>
                <w:szCs w:val="21"/>
                <w:lang w:bidi="ar"/>
              </w:rPr>
              <w:t>标准配置2200美元/9㎡</w:t>
            </w:r>
          </w:p>
        </w:tc>
      </w:tr>
      <w:tr w:rsidR="00B320A4" w:rsidTr="00A90D38">
        <w:trPr>
          <w:trHeight w:val="467"/>
        </w:trPr>
        <w:tc>
          <w:tcPr>
            <w:tcW w:w="1166" w:type="dxa"/>
            <w:vMerge/>
            <w:tcBorders>
              <w:left w:val="single" w:sz="4" w:space="0" w:color="4874CB"/>
              <w:bottom w:val="single" w:sz="4" w:space="0" w:color="FFFFFF"/>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szCs w:val="21"/>
              </w:rPr>
            </w:pPr>
          </w:p>
        </w:tc>
        <w:tc>
          <w:tcPr>
            <w:tcW w:w="3250" w:type="dxa"/>
            <w:tcBorders>
              <w:top w:val="single" w:sz="4" w:space="0" w:color="91AADF"/>
              <w:left w:val="single" w:sz="4" w:space="0" w:color="4874CB"/>
              <w:bottom w:val="single" w:sz="4" w:space="0" w:color="91AADF"/>
              <w:right w:val="single" w:sz="4" w:space="0" w:color="91AADF"/>
            </w:tcBorders>
            <w:shd w:val="clear" w:color="D9E1F4"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室内光地</w:t>
            </w:r>
          </w:p>
        </w:tc>
        <w:tc>
          <w:tcPr>
            <w:tcW w:w="5642" w:type="dxa"/>
            <w:tcBorders>
              <w:top w:val="single" w:sz="4" w:space="0" w:color="91AADF"/>
              <w:left w:val="single" w:sz="4" w:space="0" w:color="91AADF"/>
              <w:bottom w:val="single" w:sz="4" w:space="0" w:color="91AADF"/>
              <w:right w:val="single" w:sz="4" w:space="0" w:color="91AADF"/>
            </w:tcBorders>
            <w:shd w:val="clear" w:color="D9E1F4"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220美元/㎡</w:t>
            </w:r>
          </w:p>
        </w:tc>
      </w:tr>
      <w:tr w:rsidR="00B320A4" w:rsidTr="00A90D38">
        <w:trPr>
          <w:trHeight w:val="560"/>
        </w:trPr>
        <w:tc>
          <w:tcPr>
            <w:tcW w:w="10058" w:type="dxa"/>
            <w:gridSpan w:val="3"/>
            <w:tcBorders>
              <w:top w:val="single" w:sz="4" w:space="0" w:color="FFFFFF"/>
              <w:left w:val="single" w:sz="4" w:space="0" w:color="4874CB"/>
              <w:bottom w:val="single" w:sz="4" w:space="0" w:color="4874CB"/>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t>标准展位配置：企业名称标准桐标、—张洽谈栗、两把座椅、两只射灯、—</w:t>
            </w:r>
            <w:proofErr w:type="gramStart"/>
            <w:r>
              <w:rPr>
                <w:rFonts w:ascii="黑体" w:eastAsia="黑体" w:hAnsi="黑体" w:cs="黑体" w:hint="eastAsia"/>
                <w:b/>
                <w:bCs/>
                <w:color w:val="FFFFFF"/>
                <w:kern w:val="0"/>
                <w:szCs w:val="21"/>
                <w:lang w:bidi="ar"/>
              </w:rPr>
              <w:t>个</w:t>
            </w:r>
            <w:proofErr w:type="gramEnd"/>
            <w:r>
              <w:rPr>
                <w:rFonts w:ascii="黑体" w:eastAsia="黑体" w:hAnsi="黑体" w:cs="黑体"/>
                <w:b/>
                <w:bCs/>
                <w:color w:val="FFFFFF"/>
                <w:kern w:val="0"/>
                <w:szCs w:val="21"/>
                <w:lang w:bidi="ar"/>
              </w:rPr>
              <w:t>250W/220V</w:t>
            </w:r>
            <w:r>
              <w:rPr>
                <w:rFonts w:ascii="黑体" w:eastAsia="黑体" w:hAnsi="黑体" w:cs="黑体" w:hint="eastAsia"/>
                <w:b/>
                <w:bCs/>
                <w:color w:val="FFFFFF"/>
                <w:kern w:val="0"/>
                <w:szCs w:val="21"/>
                <w:lang w:bidi="ar"/>
              </w:rPr>
              <w:t>电源插座（不含照明及机械用电）、地毯。双开口位置另加收10%参展费</w:t>
            </w:r>
          </w:p>
        </w:tc>
      </w:tr>
    </w:tbl>
    <w:p w:rsidR="00B320A4" w:rsidRDefault="00B320A4" w:rsidP="00B320A4">
      <w:pPr>
        <w:spacing w:beforeLines="50" w:before="156" w:afterLines="50" w:after="156" w:line="400" w:lineRule="exact"/>
        <w:jc w:val="left"/>
        <w:rPr>
          <w:rFonts w:ascii="黑体" w:eastAsia="黑体" w:hAnsi="黑体" w:cs="黑体"/>
          <w:b/>
          <w:bCs/>
          <w:sz w:val="24"/>
          <w:szCs w:val="32"/>
        </w:rPr>
      </w:pPr>
      <w:r>
        <w:rPr>
          <w:rFonts w:ascii="黑体" w:eastAsia="黑体" w:hAnsi="黑体" w:cs="黑体" w:hint="eastAsia"/>
          <w:b/>
          <w:bCs/>
          <w:sz w:val="24"/>
          <w:szCs w:val="32"/>
        </w:rPr>
        <w:t>二、现场广告（广告费用需一次性结清）</w:t>
      </w:r>
    </w:p>
    <w:p w:rsidR="00B320A4" w:rsidRDefault="00B320A4" w:rsidP="00B320A4">
      <w:pPr>
        <w:widowControl/>
        <w:jc w:val="left"/>
        <w:rPr>
          <w:rFonts w:ascii="微软雅黑" w:eastAsia="微软雅黑" w:hAnsi="微软雅黑" w:cs="微软雅黑"/>
          <w:sz w:val="22"/>
        </w:rPr>
      </w:pPr>
      <w:r>
        <w:rPr>
          <w:rFonts w:ascii="微软雅黑" w:eastAsia="微软雅黑" w:hAnsi="微软雅黑" w:cs="微软雅黑" w:hint="eastAsia"/>
          <w:sz w:val="22"/>
        </w:rPr>
        <w:t>展区内外部分广告位展会期间对展商开放，欢迎订购 。</w:t>
      </w:r>
    </w:p>
    <w:tbl>
      <w:tblPr>
        <w:tblW w:w="10037" w:type="dxa"/>
        <w:tblInd w:w="93" w:type="dxa"/>
        <w:tblLayout w:type="fixed"/>
        <w:tblLook w:val="04A0" w:firstRow="1" w:lastRow="0" w:firstColumn="1" w:lastColumn="0" w:noHBand="0" w:noVBand="1"/>
      </w:tblPr>
      <w:tblGrid>
        <w:gridCol w:w="1358"/>
        <w:gridCol w:w="2503"/>
        <w:gridCol w:w="3495"/>
        <w:gridCol w:w="2681"/>
      </w:tblGrid>
      <w:tr w:rsidR="00B320A4" w:rsidTr="00A90D38">
        <w:trPr>
          <w:trHeight w:val="591"/>
        </w:trPr>
        <w:tc>
          <w:tcPr>
            <w:tcW w:w="1358" w:type="dxa"/>
            <w:tcBorders>
              <w:top w:val="single" w:sz="4" w:space="0" w:color="FFFFFF"/>
              <w:left w:val="single" w:sz="4" w:space="0" w:color="4874CB"/>
              <w:bottom w:val="single" w:sz="4" w:space="0" w:color="FFFFFF"/>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lastRenderedPageBreak/>
              <w:t>类型</w:t>
            </w:r>
          </w:p>
        </w:tc>
        <w:tc>
          <w:tcPr>
            <w:tcW w:w="2503" w:type="dxa"/>
            <w:tcBorders>
              <w:top w:val="single" w:sz="4" w:space="0" w:color="91AADF"/>
              <w:left w:val="single" w:sz="4" w:space="0" w:color="4874CB"/>
              <w:bottom w:val="single" w:sz="4" w:space="0" w:color="91AADF"/>
              <w:right w:val="nil"/>
            </w:tcBorders>
            <w:shd w:val="clear" w:color="auto"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桁架广告</w:t>
            </w:r>
          </w:p>
        </w:tc>
        <w:tc>
          <w:tcPr>
            <w:tcW w:w="3495" w:type="dxa"/>
            <w:tcBorders>
              <w:top w:val="single" w:sz="4" w:space="0" w:color="91AADF"/>
              <w:left w:val="nil"/>
              <w:bottom w:val="single" w:sz="4" w:space="0" w:color="91AADF"/>
              <w:right w:val="nil"/>
            </w:tcBorders>
            <w:shd w:val="clear" w:color="auto"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展馆内吊旗</w:t>
            </w:r>
          </w:p>
        </w:tc>
        <w:tc>
          <w:tcPr>
            <w:tcW w:w="2681" w:type="dxa"/>
            <w:tcBorders>
              <w:top w:val="single" w:sz="4" w:space="0" w:color="91AADF"/>
              <w:left w:val="nil"/>
              <w:bottom w:val="single" w:sz="4" w:space="0" w:color="91AADF"/>
              <w:right w:val="nil"/>
            </w:tcBorders>
            <w:shd w:val="clear" w:color="auto" w:fill="D9E1F4"/>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登录厅内侧广告内</w:t>
            </w:r>
          </w:p>
        </w:tc>
      </w:tr>
      <w:tr w:rsidR="00B320A4" w:rsidTr="00A90D38">
        <w:trPr>
          <w:trHeight w:val="545"/>
        </w:trPr>
        <w:tc>
          <w:tcPr>
            <w:tcW w:w="1358" w:type="dxa"/>
            <w:tcBorders>
              <w:top w:val="single" w:sz="4" w:space="0" w:color="FFFFFF"/>
              <w:left w:val="single" w:sz="4" w:space="0" w:color="4874CB"/>
              <w:bottom w:val="single" w:sz="4" w:space="0" w:color="FFFFFF"/>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t>规格</w:t>
            </w:r>
          </w:p>
        </w:tc>
        <w:tc>
          <w:tcPr>
            <w:tcW w:w="2503" w:type="dxa"/>
            <w:tcBorders>
              <w:top w:val="single" w:sz="4" w:space="0" w:color="91AADF"/>
              <w:left w:val="single" w:sz="4" w:space="0" w:color="4874CB"/>
              <w:bottom w:val="single" w:sz="4" w:space="0" w:color="91AADF"/>
              <w:right w:val="nil"/>
            </w:tcBorders>
            <w:shd w:val="clear" w:color="D9E1F4"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5M(宽)*3M（高）</w:t>
            </w:r>
          </w:p>
        </w:tc>
        <w:tc>
          <w:tcPr>
            <w:tcW w:w="3495" w:type="dxa"/>
            <w:tcBorders>
              <w:top w:val="single" w:sz="4" w:space="0" w:color="91AADF"/>
              <w:left w:val="nil"/>
              <w:bottom w:val="single" w:sz="4" w:space="0" w:color="91AADF"/>
              <w:right w:val="nil"/>
            </w:tcBorders>
            <w:shd w:val="clear" w:color="D9E1F4"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3M(宽)*5M（高）</w:t>
            </w:r>
          </w:p>
        </w:tc>
        <w:tc>
          <w:tcPr>
            <w:tcW w:w="2681" w:type="dxa"/>
            <w:tcBorders>
              <w:top w:val="single" w:sz="4" w:space="0" w:color="91AADF"/>
              <w:left w:val="nil"/>
              <w:bottom w:val="single" w:sz="4" w:space="0" w:color="91AADF"/>
              <w:right w:val="nil"/>
            </w:tcBorders>
            <w:shd w:val="clear" w:color="D9E1F4"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10M(宽)*4M（高）</w:t>
            </w:r>
          </w:p>
        </w:tc>
      </w:tr>
      <w:tr w:rsidR="00B320A4" w:rsidTr="00A90D38">
        <w:trPr>
          <w:trHeight w:val="759"/>
        </w:trPr>
        <w:tc>
          <w:tcPr>
            <w:tcW w:w="1358" w:type="dxa"/>
            <w:tcBorders>
              <w:top w:val="single" w:sz="4" w:space="0" w:color="FFFFFF"/>
              <w:left w:val="single" w:sz="4" w:space="0" w:color="4874CB"/>
              <w:bottom w:val="single" w:sz="4" w:space="0" w:color="FFFFFF"/>
              <w:right w:val="single" w:sz="4" w:space="0" w:color="4874CB"/>
            </w:tcBorders>
            <w:shd w:val="clear" w:color="4874CB" w:fill="4874CB"/>
            <w:noWrap/>
            <w:vAlign w:val="center"/>
          </w:tcPr>
          <w:p w:rsidR="00B320A4" w:rsidRDefault="00B320A4" w:rsidP="00A90D38">
            <w:pPr>
              <w:widowControl/>
              <w:jc w:val="center"/>
              <w:textAlignment w:val="center"/>
              <w:rPr>
                <w:rFonts w:ascii="黑体" w:eastAsia="黑体" w:hAnsi="黑体" w:cs="黑体"/>
                <w:b/>
                <w:bCs/>
                <w:color w:val="FFFFFF"/>
                <w:szCs w:val="21"/>
              </w:rPr>
            </w:pPr>
            <w:r>
              <w:rPr>
                <w:rFonts w:ascii="黑体" w:eastAsia="黑体" w:hAnsi="黑体" w:cs="黑体" w:hint="eastAsia"/>
                <w:b/>
                <w:bCs/>
                <w:color w:val="FFFFFF"/>
                <w:kern w:val="0"/>
                <w:szCs w:val="21"/>
                <w:lang w:bidi="ar"/>
              </w:rPr>
              <w:t>价格</w:t>
            </w:r>
          </w:p>
        </w:tc>
        <w:tc>
          <w:tcPr>
            <w:tcW w:w="2503" w:type="dxa"/>
            <w:tcBorders>
              <w:top w:val="single" w:sz="4" w:space="0" w:color="91AADF"/>
              <w:left w:val="single" w:sz="4" w:space="0" w:color="4874CB"/>
              <w:bottom w:val="single" w:sz="4" w:space="0" w:color="91AADF"/>
              <w:right w:val="nil"/>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10000元（单面）</w:t>
            </w:r>
          </w:p>
        </w:tc>
        <w:tc>
          <w:tcPr>
            <w:tcW w:w="3495" w:type="dxa"/>
            <w:tcBorders>
              <w:top w:val="single" w:sz="4" w:space="0" w:color="91AADF"/>
              <w:left w:val="nil"/>
              <w:bottom w:val="single" w:sz="4" w:space="0" w:color="91AADF"/>
              <w:right w:val="nil"/>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5000元（单面）</w:t>
            </w:r>
          </w:p>
        </w:tc>
        <w:tc>
          <w:tcPr>
            <w:tcW w:w="2681" w:type="dxa"/>
            <w:tcBorders>
              <w:top w:val="single" w:sz="4" w:space="0" w:color="91AADF"/>
              <w:left w:val="nil"/>
              <w:bottom w:val="single" w:sz="4" w:space="0" w:color="91AADF"/>
              <w:right w:val="nil"/>
            </w:tcBorders>
            <w:shd w:val="clear" w:color="auto" w:fill="auto"/>
            <w:noWrap/>
            <w:vAlign w:val="center"/>
          </w:tcPr>
          <w:p w:rsidR="00B320A4" w:rsidRDefault="00B320A4" w:rsidP="00A90D38">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35000元</w:t>
            </w:r>
          </w:p>
        </w:tc>
      </w:tr>
    </w:tbl>
    <w:p w:rsidR="00B320A4" w:rsidRDefault="00B320A4" w:rsidP="00B320A4">
      <w:pPr>
        <w:spacing w:line="440" w:lineRule="exact"/>
        <w:rPr>
          <w:rFonts w:ascii="微软雅黑" w:eastAsia="微软雅黑" w:hAnsi="微软雅黑" w:cs="微软雅黑"/>
          <w:b/>
          <w:bCs/>
          <w:sz w:val="28"/>
          <w:szCs w:val="28"/>
        </w:rPr>
      </w:pPr>
    </w:p>
    <w:p w:rsidR="00B320A4" w:rsidRDefault="00B320A4" w:rsidP="00B320A4">
      <w:pPr>
        <w:spacing w:line="44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参展程序</w:t>
      </w:r>
    </w:p>
    <w:p w:rsidR="00B320A4" w:rsidRDefault="00B320A4" w:rsidP="00B320A4">
      <w:pPr>
        <w:pStyle w:val="aa"/>
        <w:numPr>
          <w:ilvl w:val="0"/>
          <w:numId w:val="1"/>
        </w:numPr>
        <w:spacing w:line="400" w:lineRule="exact"/>
        <w:ind w:firstLineChars="0"/>
        <w:rPr>
          <w:rFonts w:ascii="微软雅黑" w:eastAsia="微软雅黑" w:hAnsi="微软雅黑" w:cs="微软雅黑"/>
          <w:sz w:val="22"/>
        </w:rPr>
      </w:pPr>
      <w:r>
        <w:rPr>
          <w:rFonts w:ascii="微软雅黑" w:eastAsia="微软雅黑" w:hAnsi="微软雅黑" w:cs="微软雅黑" w:hint="eastAsia"/>
          <w:sz w:val="22"/>
        </w:rPr>
        <w:t>参展单位请详细填写《参展申请表》，并加盖公章后传真或交寄至大会组委会。</w:t>
      </w:r>
    </w:p>
    <w:p w:rsidR="00B320A4" w:rsidRDefault="00B320A4" w:rsidP="00B320A4">
      <w:pPr>
        <w:pStyle w:val="aa"/>
        <w:numPr>
          <w:ilvl w:val="0"/>
          <w:numId w:val="1"/>
        </w:numPr>
        <w:spacing w:line="400" w:lineRule="exact"/>
        <w:ind w:firstLineChars="0"/>
        <w:rPr>
          <w:rFonts w:ascii="微软雅黑" w:eastAsia="微软雅黑" w:hAnsi="微软雅黑" w:cs="微软雅黑"/>
          <w:sz w:val="22"/>
        </w:rPr>
      </w:pPr>
      <w:r>
        <w:rPr>
          <w:rFonts w:ascii="微软雅黑" w:eastAsia="微软雅黑" w:hAnsi="微软雅黑" w:cs="微软雅黑" w:hint="eastAsia"/>
          <w:sz w:val="22"/>
        </w:rPr>
        <w:t>企业报名后5个工作日内将参展费用汇入大会组委会指定</w:t>
      </w:r>
      <w:proofErr w:type="gramStart"/>
      <w:r>
        <w:rPr>
          <w:rFonts w:ascii="微软雅黑" w:eastAsia="微软雅黑" w:hAnsi="微软雅黑" w:cs="微软雅黑" w:hint="eastAsia"/>
          <w:sz w:val="22"/>
        </w:rPr>
        <w:t>帐号</w:t>
      </w:r>
      <w:proofErr w:type="gramEnd"/>
      <w:r>
        <w:rPr>
          <w:rFonts w:ascii="微软雅黑" w:eastAsia="微软雅黑" w:hAnsi="微软雅黑" w:cs="微软雅黑" w:hint="eastAsia"/>
          <w:sz w:val="22"/>
        </w:rPr>
        <w:t>从而确定展位。</w:t>
      </w:r>
    </w:p>
    <w:p w:rsidR="00B320A4" w:rsidRDefault="00B320A4" w:rsidP="00B320A4">
      <w:pPr>
        <w:pStyle w:val="aa"/>
        <w:numPr>
          <w:ilvl w:val="0"/>
          <w:numId w:val="1"/>
        </w:numPr>
        <w:spacing w:line="400" w:lineRule="exact"/>
        <w:ind w:firstLineChars="0"/>
        <w:rPr>
          <w:rFonts w:ascii="微软雅黑" w:eastAsia="微软雅黑" w:hAnsi="微软雅黑" w:cs="微软雅黑"/>
          <w:sz w:val="22"/>
        </w:rPr>
      </w:pPr>
      <w:r>
        <w:rPr>
          <w:rFonts w:ascii="微软雅黑" w:eastAsia="微软雅黑" w:hAnsi="微软雅黑" w:cs="微软雅黑" w:hint="eastAsia"/>
          <w:sz w:val="22"/>
        </w:rPr>
        <w:t>展位、广告等由组委会统一安排，“先申请、先付款、先分配”，协办单位可优先安排。</w:t>
      </w:r>
    </w:p>
    <w:p w:rsidR="00B320A4" w:rsidRDefault="00B320A4" w:rsidP="00B320A4">
      <w:pPr>
        <w:pStyle w:val="aa"/>
        <w:numPr>
          <w:ilvl w:val="0"/>
          <w:numId w:val="1"/>
        </w:numPr>
        <w:spacing w:line="400" w:lineRule="exact"/>
        <w:ind w:firstLineChars="0"/>
        <w:rPr>
          <w:rFonts w:ascii="微软雅黑" w:eastAsia="微软雅黑" w:hAnsi="微软雅黑" w:cs="微软雅黑"/>
          <w:sz w:val="22"/>
        </w:rPr>
      </w:pPr>
      <w:r>
        <w:rPr>
          <w:rFonts w:ascii="微软雅黑" w:eastAsia="微软雅黑" w:hAnsi="微软雅黑" w:cs="微软雅黑" w:hint="eastAsia"/>
          <w:sz w:val="22"/>
        </w:rPr>
        <w:t>不可抗拒的因素如自然灾害、政府行为、社会异常事件等，组织单位可以延迟或取消展会。</w:t>
      </w:r>
    </w:p>
    <w:p w:rsidR="00B320A4" w:rsidRDefault="00B320A4" w:rsidP="00B320A4">
      <w:pPr>
        <w:pStyle w:val="aa"/>
        <w:numPr>
          <w:ilvl w:val="0"/>
          <w:numId w:val="1"/>
        </w:numPr>
        <w:spacing w:line="400" w:lineRule="exact"/>
        <w:ind w:firstLineChars="0"/>
        <w:rPr>
          <w:rFonts w:ascii="微软雅黑" w:eastAsia="微软雅黑" w:hAnsi="微软雅黑" w:cs="微软雅黑"/>
          <w:sz w:val="22"/>
          <w:szCs w:val="28"/>
        </w:rPr>
      </w:pPr>
      <w:r>
        <w:rPr>
          <w:rFonts w:ascii="微软雅黑" w:eastAsia="微软雅黑" w:hAnsi="微软雅黑" w:cs="微软雅黑" w:hint="eastAsia"/>
          <w:sz w:val="22"/>
        </w:rPr>
        <w:t>特别提示：所租用展位严禁转租、转售展位。不准展出假冒侵权产品,以及在展厅内现场零售展品或出售其他商品。一经发现组委会将取消参展资格，展位费用不再退还。不准在通道上堆放物品。</w:t>
      </w:r>
    </w:p>
    <w:p w:rsidR="00A114E9" w:rsidRDefault="00072AAB">
      <w:pPr>
        <w:pStyle w:val="aa"/>
        <w:numPr>
          <w:ilvl w:val="0"/>
          <w:numId w:val="1"/>
        </w:numPr>
        <w:ind w:firstLineChars="0"/>
        <w:rPr>
          <w:rFonts w:ascii="微软雅黑" w:eastAsia="微软雅黑" w:hAnsi="微软雅黑"/>
          <w:b/>
          <w:bCs/>
          <w:color w:val="002060"/>
          <w:sz w:val="28"/>
          <w:szCs w:val="28"/>
        </w:rPr>
      </w:pPr>
      <w:r>
        <w:rPr>
          <w:rFonts w:ascii="微软雅黑" w:eastAsia="微软雅黑" w:hAnsi="微软雅黑" w:hint="eastAsia"/>
          <w:b/>
          <w:bCs/>
          <w:color w:val="002060"/>
          <w:sz w:val="28"/>
          <w:szCs w:val="28"/>
        </w:rPr>
        <w:t>大会组委会</w:t>
      </w:r>
    </w:p>
    <w:p w:rsidR="00A114E9" w:rsidRDefault="00A114E9">
      <w:pPr>
        <w:spacing w:line="360" w:lineRule="auto"/>
        <w:rPr>
          <w:rFonts w:ascii="黑体" w:eastAsia="黑体" w:hAnsi="黑体"/>
          <w:b/>
          <w:bCs/>
          <w:sz w:val="24"/>
          <w:szCs w:val="24"/>
        </w:rPr>
        <w:sectPr w:rsidR="00A114E9">
          <w:pgSz w:w="11906" w:h="16838"/>
          <w:pgMar w:top="1327" w:right="1264" w:bottom="1327" w:left="1264" w:header="851" w:footer="992" w:gutter="0"/>
          <w:cols w:space="425"/>
          <w:docGrid w:type="lines" w:linePitch="312"/>
        </w:sectPr>
      </w:pPr>
    </w:p>
    <w:p w:rsidR="003B5CB1" w:rsidRPr="003B5CB1" w:rsidRDefault="003B5CB1" w:rsidP="00736D20">
      <w:pPr>
        <w:rPr>
          <w:rFonts w:ascii="黑体" w:eastAsia="黑体" w:hAnsi="黑体"/>
          <w:sz w:val="24"/>
          <w:szCs w:val="24"/>
        </w:rPr>
      </w:pPr>
      <w:r w:rsidRPr="003B5CB1">
        <w:rPr>
          <w:rFonts w:ascii="黑体" w:eastAsia="黑体" w:hAnsi="黑体" w:hint="eastAsia"/>
          <w:sz w:val="24"/>
          <w:szCs w:val="24"/>
        </w:rPr>
        <w:t>武汉华中优</w:t>
      </w:r>
      <w:proofErr w:type="gramStart"/>
      <w:r w:rsidRPr="003B5CB1">
        <w:rPr>
          <w:rFonts w:ascii="黑体" w:eastAsia="黑体" w:hAnsi="黑体" w:hint="eastAsia"/>
          <w:sz w:val="24"/>
          <w:szCs w:val="24"/>
        </w:rPr>
        <w:t>优</w:t>
      </w:r>
      <w:proofErr w:type="gramEnd"/>
      <w:r w:rsidRPr="003B5CB1">
        <w:rPr>
          <w:rFonts w:ascii="黑体" w:eastAsia="黑体" w:hAnsi="黑体" w:hint="eastAsia"/>
          <w:sz w:val="24"/>
          <w:szCs w:val="24"/>
        </w:rPr>
        <w:t>国际会展有限公司</w:t>
      </w:r>
    </w:p>
    <w:p w:rsidR="00736D20" w:rsidRDefault="00736D20" w:rsidP="00736D20">
      <w:pPr>
        <w:rPr>
          <w:rFonts w:ascii="Times New Roman" w:eastAsia="等线" w:hAnsi="Times New Roman" w:cs="Times New Roman"/>
          <w:kern w:val="0"/>
          <w:szCs w:val="20"/>
        </w:rPr>
      </w:pPr>
      <w:r>
        <w:rPr>
          <w:rFonts w:hint="eastAsia"/>
        </w:rPr>
        <w:t>大会组委会：徐</w:t>
      </w:r>
      <w:r w:rsidR="00187BBD">
        <w:rPr>
          <w:rFonts w:hint="eastAsia"/>
        </w:rPr>
        <w:t>经理</w:t>
      </w:r>
    </w:p>
    <w:p w:rsidR="00736D20" w:rsidRDefault="00736D20" w:rsidP="00736D20">
      <w:pPr>
        <w:rPr>
          <w:rFonts w:eastAsia="MingLiU"/>
          <w:sz w:val="24"/>
          <w:lang w:eastAsia="zh-TW"/>
        </w:rPr>
      </w:pPr>
      <w:r>
        <w:t>Tel: 18515881594</w:t>
      </w:r>
      <w:r>
        <w:rPr>
          <w:rFonts w:hint="eastAsia"/>
        </w:rPr>
        <w:t>（</w:t>
      </w:r>
      <w:proofErr w:type="gramStart"/>
      <w:r>
        <w:rPr>
          <w:rFonts w:hint="eastAsia"/>
        </w:rPr>
        <w:t>微信同</w:t>
      </w:r>
      <w:proofErr w:type="gramEnd"/>
      <w:r>
        <w:rPr>
          <w:rFonts w:hint="eastAsia"/>
        </w:rPr>
        <w:t>号）</w:t>
      </w:r>
    </w:p>
    <w:p w:rsidR="00736D20" w:rsidRDefault="00736D20" w:rsidP="00736D20">
      <w:r>
        <w:t xml:space="preserve">QQ: 630581471   </w:t>
      </w:r>
      <w:r>
        <w:rPr>
          <w:rFonts w:hint="eastAsia"/>
        </w:rPr>
        <w:t>邮箱</w:t>
      </w:r>
      <w:r>
        <w:t>: 630581471@qq.com</w:t>
      </w:r>
    </w:p>
    <w:p w:rsidR="00736D20" w:rsidRDefault="00736D20" w:rsidP="00736D20">
      <w:pPr>
        <w:rPr>
          <w:rFonts w:eastAsia="PMingLiU"/>
        </w:rPr>
      </w:pPr>
    </w:p>
    <w:p w:rsidR="00A114E9" w:rsidRDefault="00A114E9">
      <w:pPr>
        <w:spacing w:line="360" w:lineRule="auto"/>
        <w:ind w:firstLineChars="100" w:firstLine="240"/>
        <w:rPr>
          <w:rFonts w:ascii="黑体" w:eastAsia="黑体" w:hAnsi="黑体"/>
          <w:sz w:val="24"/>
          <w:szCs w:val="24"/>
        </w:rPr>
      </w:pPr>
    </w:p>
    <w:sectPr w:rsidR="00A114E9">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F7" w:rsidRDefault="004110F7" w:rsidP="004A32A0">
      <w:r>
        <w:separator/>
      </w:r>
    </w:p>
  </w:endnote>
  <w:endnote w:type="continuationSeparator" w:id="0">
    <w:p w:rsidR="004110F7" w:rsidRDefault="004110F7" w:rsidP="004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F7" w:rsidRDefault="004110F7" w:rsidP="004A32A0">
      <w:r>
        <w:separator/>
      </w:r>
    </w:p>
  </w:footnote>
  <w:footnote w:type="continuationSeparator" w:id="0">
    <w:p w:rsidR="004110F7" w:rsidRDefault="004110F7" w:rsidP="004A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6BEDB7"/>
    <w:multiLevelType w:val="singleLevel"/>
    <w:tmpl w:val="EF6BEDB7"/>
    <w:lvl w:ilvl="0">
      <w:start w:val="1"/>
      <w:numFmt w:val="chineseCounting"/>
      <w:suff w:val="nothing"/>
      <w:lvlText w:val="%1、"/>
      <w:lvlJc w:val="left"/>
      <w:rPr>
        <w:rFonts w:hint="eastAsia"/>
      </w:rPr>
    </w:lvl>
  </w:abstractNum>
  <w:abstractNum w:abstractNumId="1" w15:restartNumberingAfterBreak="0">
    <w:nsid w:val="0B394B2A"/>
    <w:multiLevelType w:val="multilevel"/>
    <w:tmpl w:val="0B394B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F76BD4"/>
    <w:multiLevelType w:val="multilevel"/>
    <w:tmpl w:val="11F76B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D393A"/>
    <w:multiLevelType w:val="multilevel"/>
    <w:tmpl w:val="177D39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26583E"/>
    <w:multiLevelType w:val="hybridMultilevel"/>
    <w:tmpl w:val="C464BEEA"/>
    <w:lvl w:ilvl="0" w:tplc="2C7E4482">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267A6B"/>
    <w:multiLevelType w:val="multilevel"/>
    <w:tmpl w:val="54267A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7A867D6"/>
    <w:multiLevelType w:val="multilevel"/>
    <w:tmpl w:val="67A867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1YjhlNTY1MGNkMTRkYjliZGI0ZmU2OGMyOWIyNzEifQ=="/>
  </w:docVars>
  <w:rsids>
    <w:rsidRoot w:val="00550B3C"/>
    <w:rsid w:val="000012E6"/>
    <w:rsid w:val="0003448D"/>
    <w:rsid w:val="00072AAB"/>
    <w:rsid w:val="000C07B5"/>
    <w:rsid w:val="00130F0F"/>
    <w:rsid w:val="00156EB6"/>
    <w:rsid w:val="0017303A"/>
    <w:rsid w:val="00174FC9"/>
    <w:rsid w:val="0018193E"/>
    <w:rsid w:val="00187BBD"/>
    <w:rsid w:val="00193890"/>
    <w:rsid w:val="001D691F"/>
    <w:rsid w:val="00204DDF"/>
    <w:rsid w:val="002B2DA8"/>
    <w:rsid w:val="003561C5"/>
    <w:rsid w:val="003B5CB1"/>
    <w:rsid w:val="003D35CF"/>
    <w:rsid w:val="003E6F4B"/>
    <w:rsid w:val="004110F7"/>
    <w:rsid w:val="00431280"/>
    <w:rsid w:val="004A32A0"/>
    <w:rsid w:val="004A605A"/>
    <w:rsid w:val="004B7EC8"/>
    <w:rsid w:val="00502A52"/>
    <w:rsid w:val="00505A5D"/>
    <w:rsid w:val="00550B3C"/>
    <w:rsid w:val="00596E35"/>
    <w:rsid w:val="00670782"/>
    <w:rsid w:val="00705EE2"/>
    <w:rsid w:val="00716E55"/>
    <w:rsid w:val="007239DD"/>
    <w:rsid w:val="0073592E"/>
    <w:rsid w:val="00736D20"/>
    <w:rsid w:val="007601E2"/>
    <w:rsid w:val="0077398A"/>
    <w:rsid w:val="007F1AD0"/>
    <w:rsid w:val="008064E4"/>
    <w:rsid w:val="0087082E"/>
    <w:rsid w:val="00932DAE"/>
    <w:rsid w:val="009330B6"/>
    <w:rsid w:val="0095709B"/>
    <w:rsid w:val="009634F8"/>
    <w:rsid w:val="009C0FD2"/>
    <w:rsid w:val="009C49A8"/>
    <w:rsid w:val="00A0674E"/>
    <w:rsid w:val="00A114E9"/>
    <w:rsid w:val="00A27899"/>
    <w:rsid w:val="00A838CD"/>
    <w:rsid w:val="00AA7119"/>
    <w:rsid w:val="00AB7BD1"/>
    <w:rsid w:val="00B12629"/>
    <w:rsid w:val="00B320A4"/>
    <w:rsid w:val="00B326EC"/>
    <w:rsid w:val="00BA3A99"/>
    <w:rsid w:val="00BE23BD"/>
    <w:rsid w:val="00BF1CB0"/>
    <w:rsid w:val="00C04C41"/>
    <w:rsid w:val="00C470B2"/>
    <w:rsid w:val="00C66D93"/>
    <w:rsid w:val="00CE2BD6"/>
    <w:rsid w:val="00D07A34"/>
    <w:rsid w:val="00D55CB8"/>
    <w:rsid w:val="00E02101"/>
    <w:rsid w:val="00E02561"/>
    <w:rsid w:val="00E9347A"/>
    <w:rsid w:val="00E95F20"/>
    <w:rsid w:val="00F52CDD"/>
    <w:rsid w:val="00F61921"/>
    <w:rsid w:val="00F729E5"/>
    <w:rsid w:val="00FD68EA"/>
    <w:rsid w:val="047A0B36"/>
    <w:rsid w:val="072E67C0"/>
    <w:rsid w:val="1380460A"/>
    <w:rsid w:val="23764592"/>
    <w:rsid w:val="318C4412"/>
    <w:rsid w:val="38E20B98"/>
    <w:rsid w:val="3FDB7641"/>
    <w:rsid w:val="470F4A70"/>
    <w:rsid w:val="474D5A66"/>
    <w:rsid w:val="57DB745C"/>
    <w:rsid w:val="62F65857"/>
    <w:rsid w:val="63C96B30"/>
    <w:rsid w:val="68C43F35"/>
    <w:rsid w:val="6A0F61C4"/>
    <w:rsid w:val="6B8E552C"/>
    <w:rsid w:val="6D056835"/>
    <w:rsid w:val="713F1729"/>
    <w:rsid w:val="718E6AF9"/>
    <w:rsid w:val="79E04776"/>
    <w:rsid w:val="7D6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226D"/>
  <w15:docId w15:val="{5B733CB1-8649-447D-B324-2D98F379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nhideWhenUsed/>
    <w:qFormat/>
    <w:rsid w:val="00B320A4"/>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rsid w:val="00B320A4"/>
    <w:rPr>
      <w:rFonts w:ascii="Arial" w:eastAsia="黑体" w:hAnsi="Arial" w:cstheme="minorBidi"/>
      <w:b/>
      <w:kern w:val="2"/>
      <w:sz w:val="32"/>
      <w:szCs w:val="24"/>
    </w:rPr>
  </w:style>
  <w:style w:type="paragraph" w:styleId="ab">
    <w:name w:val="Normal (Web)"/>
    <w:basedOn w:val="a"/>
    <w:uiPriority w:val="99"/>
    <w:semiHidden/>
    <w:unhideWhenUsed/>
    <w:rsid w:val="00932D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91817">
      <w:bodyDiv w:val="1"/>
      <w:marLeft w:val="0"/>
      <w:marRight w:val="0"/>
      <w:marTop w:val="0"/>
      <w:marBottom w:val="0"/>
      <w:divBdr>
        <w:top w:val="none" w:sz="0" w:space="0" w:color="auto"/>
        <w:left w:val="none" w:sz="0" w:space="0" w:color="auto"/>
        <w:bottom w:val="none" w:sz="0" w:space="0" w:color="auto"/>
        <w:right w:val="none" w:sz="0" w:space="0" w:color="auto"/>
      </w:divBdr>
    </w:div>
    <w:div w:id="1226910463">
      <w:bodyDiv w:val="1"/>
      <w:marLeft w:val="0"/>
      <w:marRight w:val="0"/>
      <w:marTop w:val="0"/>
      <w:marBottom w:val="0"/>
      <w:divBdr>
        <w:top w:val="none" w:sz="0" w:space="0" w:color="auto"/>
        <w:left w:val="none" w:sz="0" w:space="0" w:color="auto"/>
        <w:bottom w:val="none" w:sz="0" w:space="0" w:color="auto"/>
        <w:right w:val="none" w:sz="0" w:space="0" w:color="auto"/>
      </w:divBdr>
    </w:div>
    <w:div w:id="1952391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83D4-C6AB-4932-A2D2-326678E9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536</Words>
  <Characters>3057</Characters>
  <Application>Microsoft Office Word</Application>
  <DocSecurity>0</DocSecurity>
  <Lines>25</Lines>
  <Paragraphs>7</Paragraphs>
  <ScaleCrop>false</ScaleCrop>
  <Company>xmj</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彬</dc:creator>
  <cp:lastModifiedBy>win10-a</cp:lastModifiedBy>
  <cp:revision>20</cp:revision>
  <dcterms:created xsi:type="dcterms:W3CDTF">2022-08-18T00:25:00Z</dcterms:created>
  <dcterms:modified xsi:type="dcterms:W3CDTF">2024-11-02T01:55:00Z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EE0FD6E3BD2A4CA5AC900FDCCF8B1CF7</vt:lpwstr>
  </property>
</Properties>
</file>