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9994D">
      <w:pPr>
        <w:jc w:val="center"/>
        <w:rPr>
          <w:rFonts w:hint="eastAsia" w:ascii="仿宋" w:hAnsi="仿宋" w:eastAsia="仿宋"/>
          <w:b/>
          <w:sz w:val="44"/>
          <w:szCs w:val="44"/>
        </w:rPr>
      </w:pPr>
      <w:r>
        <w:rPr>
          <w:rFonts w:ascii="仿宋" w:hAnsi="仿宋" w:eastAsia="仿宋"/>
          <w:b/>
          <w:sz w:val="44"/>
          <w:szCs w:val="44"/>
        </w:rPr>
        <w:t>第三届侨交会（越南）智能科技展邀请函</w:t>
      </w:r>
    </w:p>
    <w:p w14:paraId="0AAAF1B3">
      <w:pPr>
        <w:jc w:val="center"/>
        <w:rPr>
          <w:rFonts w:hint="eastAsia" w:ascii="仿宋" w:hAnsi="仿宋" w:eastAsia="仿宋"/>
          <w:sz w:val="28"/>
          <w:szCs w:val="28"/>
        </w:rPr>
      </w:pPr>
      <w:r>
        <w:rPr>
          <w:rFonts w:ascii="仿宋" w:hAnsi="仿宋" w:eastAsia="仿宋"/>
          <w:sz w:val="28"/>
          <w:szCs w:val="28"/>
        </w:rPr>
        <w:t>THE 3RD OCTF (VIETNAM) INTELLIGENT TECHNOLOGY EXHIBITION</w:t>
      </w:r>
    </w:p>
    <w:p w14:paraId="5B070CFC">
      <w:pPr>
        <w:jc w:val="center"/>
        <w:rPr>
          <w:rFonts w:hint="eastAsia" w:ascii="仿宋" w:hAnsi="仿宋" w:eastAsia="仿宋"/>
          <w:sz w:val="24"/>
          <w:szCs w:val="24"/>
        </w:rPr>
      </w:pPr>
      <w:r>
        <w:drawing>
          <wp:inline distT="0" distB="0" distL="114300" distR="114300">
            <wp:extent cx="5269230" cy="1913890"/>
            <wp:effectExtent l="0" t="0" r="127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9230" cy="1913890"/>
                    </a:xfrm>
                    <a:prstGeom prst="rect">
                      <a:avLst/>
                    </a:prstGeom>
                    <a:noFill/>
                    <a:ln>
                      <a:noFill/>
                    </a:ln>
                  </pic:spPr>
                </pic:pic>
              </a:graphicData>
            </a:graphic>
          </wp:inline>
        </w:drawing>
      </w:r>
    </w:p>
    <w:p w14:paraId="3889F8CA">
      <w:pPr>
        <w:pStyle w:val="10"/>
        <w:numPr>
          <w:ilvl w:val="0"/>
          <w:numId w:val="1"/>
        </w:numPr>
        <w:spacing w:before="156" w:beforeLines="50"/>
        <w:ind w:firstLineChars="0"/>
        <w:rPr>
          <w:rFonts w:hint="eastAsia" w:ascii="黑体" w:hAnsi="黑体" w:eastAsia="黑体"/>
          <w:b/>
          <w:sz w:val="28"/>
          <w:szCs w:val="28"/>
        </w:rPr>
      </w:pPr>
      <w:r>
        <w:rPr>
          <w:rFonts w:ascii="黑体" w:hAnsi="黑体" w:eastAsia="黑体"/>
          <w:b/>
          <w:sz w:val="28"/>
          <w:szCs w:val="28"/>
        </w:rPr>
        <w:t>基本信息</w:t>
      </w:r>
    </w:p>
    <w:p w14:paraId="201A1DAC">
      <w:pPr>
        <w:pStyle w:val="10"/>
        <w:ind w:left="720" w:firstLine="0" w:firstLineChars="0"/>
        <w:rPr>
          <w:rFonts w:hint="eastAsia" w:ascii="仿宋" w:hAnsi="仿宋" w:eastAsia="仿宋"/>
          <w:sz w:val="28"/>
          <w:szCs w:val="28"/>
        </w:rPr>
      </w:pPr>
      <w:r>
        <w:rPr>
          <w:rFonts w:ascii="仿宋" w:hAnsi="仿宋" w:eastAsia="仿宋"/>
          <w:b/>
          <w:sz w:val="28"/>
          <w:szCs w:val="28"/>
        </w:rPr>
        <w:t>展会名称：</w:t>
      </w:r>
      <w:r>
        <w:rPr>
          <w:rFonts w:hint="eastAsia" w:ascii="仿宋" w:hAnsi="仿宋" w:eastAsia="仿宋"/>
          <w:sz w:val="28"/>
          <w:szCs w:val="28"/>
        </w:rPr>
        <w:t>第三届侨交会（越南）智能科技展</w:t>
      </w:r>
    </w:p>
    <w:p w14:paraId="24F1237B">
      <w:pPr>
        <w:pStyle w:val="10"/>
        <w:ind w:left="720" w:firstLine="0" w:firstLineChars="0"/>
        <w:rPr>
          <w:rFonts w:hint="eastAsia" w:ascii="仿宋" w:hAnsi="仿宋" w:eastAsia="仿宋"/>
          <w:sz w:val="28"/>
          <w:szCs w:val="28"/>
        </w:rPr>
      </w:pPr>
      <w:r>
        <w:rPr>
          <w:rFonts w:hint="eastAsia" w:ascii="仿宋" w:hAnsi="仿宋" w:eastAsia="仿宋"/>
          <w:b/>
          <w:sz w:val="28"/>
          <w:szCs w:val="28"/>
        </w:rPr>
        <w:t>展览日期：</w:t>
      </w:r>
      <w:r>
        <w:rPr>
          <w:rFonts w:hint="eastAsia" w:ascii="仿宋" w:hAnsi="仿宋" w:eastAsia="仿宋"/>
          <w:sz w:val="28"/>
          <w:szCs w:val="28"/>
        </w:rPr>
        <w:t>2</w:t>
      </w:r>
      <w:r>
        <w:rPr>
          <w:rFonts w:ascii="仿宋" w:hAnsi="仿宋" w:eastAsia="仿宋"/>
          <w:sz w:val="28"/>
          <w:szCs w:val="28"/>
        </w:rPr>
        <w:t>025</w:t>
      </w:r>
      <w:r>
        <w:rPr>
          <w:rFonts w:hint="eastAsia" w:ascii="仿宋" w:hAnsi="仿宋" w:eastAsia="仿宋"/>
          <w:sz w:val="28"/>
          <w:szCs w:val="28"/>
        </w:rPr>
        <w:t>年</w:t>
      </w:r>
      <w:r>
        <w:rPr>
          <w:rFonts w:ascii="仿宋" w:hAnsi="仿宋" w:eastAsia="仿宋"/>
          <w:sz w:val="28"/>
          <w:szCs w:val="28"/>
        </w:rPr>
        <w:t>8</w:t>
      </w:r>
      <w:r>
        <w:rPr>
          <w:rFonts w:hint="eastAsia" w:ascii="仿宋" w:hAnsi="仿宋" w:eastAsia="仿宋"/>
          <w:sz w:val="28"/>
          <w:szCs w:val="28"/>
        </w:rPr>
        <w:t>月2</w:t>
      </w:r>
      <w:r>
        <w:rPr>
          <w:rFonts w:ascii="仿宋" w:hAnsi="仿宋" w:eastAsia="仿宋"/>
          <w:sz w:val="28"/>
          <w:szCs w:val="28"/>
        </w:rPr>
        <w:t>8-30</w:t>
      </w:r>
      <w:r>
        <w:rPr>
          <w:rFonts w:hint="eastAsia" w:ascii="仿宋" w:hAnsi="仿宋" w:eastAsia="仿宋"/>
          <w:sz w:val="28"/>
          <w:szCs w:val="28"/>
        </w:rPr>
        <w:t>日</w:t>
      </w:r>
    </w:p>
    <w:p w14:paraId="51EAF0E9">
      <w:pPr>
        <w:pStyle w:val="10"/>
        <w:ind w:left="720" w:firstLine="0" w:firstLineChars="0"/>
        <w:rPr>
          <w:rFonts w:hint="eastAsia" w:ascii="仿宋" w:hAnsi="仿宋" w:eastAsia="仿宋"/>
          <w:sz w:val="28"/>
          <w:szCs w:val="28"/>
        </w:rPr>
      </w:pPr>
      <w:r>
        <w:rPr>
          <w:rFonts w:ascii="仿宋" w:hAnsi="仿宋" w:eastAsia="仿宋"/>
          <w:b/>
          <w:sz w:val="28"/>
          <w:szCs w:val="28"/>
        </w:rPr>
        <w:t>展览</w:t>
      </w:r>
      <w:r>
        <w:rPr>
          <w:rFonts w:hint="eastAsia" w:ascii="仿宋" w:hAnsi="仿宋" w:eastAsia="仿宋"/>
          <w:b/>
          <w:sz w:val="28"/>
          <w:szCs w:val="28"/>
        </w:rPr>
        <w:t>地点：</w:t>
      </w:r>
      <w:r>
        <w:rPr>
          <w:rFonts w:ascii="仿宋" w:hAnsi="仿宋" w:eastAsia="仿宋"/>
          <w:sz w:val="28"/>
          <w:szCs w:val="28"/>
        </w:rPr>
        <w:t>越南胡志明西贡会展中心</w:t>
      </w:r>
      <w:r>
        <w:rPr>
          <w:rFonts w:hint="eastAsia" w:ascii="仿宋" w:hAnsi="仿宋" w:eastAsia="仿宋"/>
          <w:sz w:val="28"/>
          <w:szCs w:val="28"/>
        </w:rPr>
        <w:t>（S</w:t>
      </w:r>
      <w:r>
        <w:rPr>
          <w:rFonts w:ascii="仿宋" w:hAnsi="仿宋" w:eastAsia="仿宋"/>
          <w:sz w:val="28"/>
          <w:szCs w:val="28"/>
        </w:rPr>
        <w:t>ECC</w:t>
      </w:r>
      <w:r>
        <w:rPr>
          <w:rFonts w:hint="eastAsia" w:ascii="仿宋" w:hAnsi="仿宋" w:eastAsia="仿宋"/>
          <w:sz w:val="28"/>
          <w:szCs w:val="28"/>
        </w:rPr>
        <w:t>）</w:t>
      </w:r>
    </w:p>
    <w:p w14:paraId="3D290292">
      <w:pPr>
        <w:pStyle w:val="10"/>
        <w:ind w:left="720" w:firstLine="0" w:firstLineChars="0"/>
        <w:rPr>
          <w:rFonts w:hint="eastAsia" w:ascii="仿宋" w:hAnsi="仿宋" w:eastAsia="仿宋"/>
          <w:sz w:val="28"/>
          <w:szCs w:val="28"/>
        </w:rPr>
      </w:pPr>
      <w:r>
        <w:rPr>
          <w:rFonts w:hint="eastAsia" w:ascii="仿宋" w:hAnsi="仿宋" w:eastAsia="仿宋"/>
          <w:b/>
          <w:sz w:val="28"/>
          <w:szCs w:val="28"/>
        </w:rPr>
        <w:t>展会规模：</w:t>
      </w:r>
      <w:r>
        <w:rPr>
          <w:rFonts w:ascii="仿宋" w:hAnsi="仿宋" w:eastAsia="仿宋"/>
          <w:sz w:val="28"/>
          <w:szCs w:val="28"/>
        </w:rPr>
        <w:t>10,000</w:t>
      </w:r>
      <w:r>
        <w:rPr>
          <w:rFonts w:hint="eastAsia" w:ascii="仿宋" w:hAnsi="仿宋" w:eastAsia="仿宋"/>
          <w:sz w:val="28"/>
          <w:szCs w:val="28"/>
        </w:rPr>
        <w:t>㎡</w:t>
      </w:r>
    </w:p>
    <w:p w14:paraId="69547267">
      <w:pPr>
        <w:pStyle w:val="10"/>
        <w:ind w:left="720" w:firstLine="0" w:firstLineChars="0"/>
        <w:rPr>
          <w:rFonts w:hint="eastAsia" w:ascii="仿宋" w:hAnsi="仿宋" w:eastAsia="仿宋"/>
          <w:b/>
          <w:sz w:val="28"/>
          <w:szCs w:val="28"/>
        </w:rPr>
      </w:pPr>
      <w:r>
        <w:rPr>
          <w:rFonts w:hint="eastAsia" w:ascii="仿宋" w:hAnsi="仿宋" w:eastAsia="仿宋"/>
          <w:b/>
          <w:sz w:val="28"/>
          <w:szCs w:val="28"/>
        </w:rPr>
        <w:t>预计到场观众：</w:t>
      </w:r>
      <w:r>
        <w:rPr>
          <w:rFonts w:hint="eastAsia" w:ascii="仿宋" w:hAnsi="仿宋" w:eastAsia="仿宋"/>
          <w:sz w:val="28"/>
          <w:szCs w:val="28"/>
        </w:rPr>
        <w:t>2</w:t>
      </w:r>
      <w:r>
        <w:rPr>
          <w:rFonts w:ascii="仿宋" w:hAnsi="仿宋" w:eastAsia="仿宋"/>
          <w:sz w:val="28"/>
          <w:szCs w:val="28"/>
        </w:rPr>
        <w:t>0,000人次</w:t>
      </w:r>
    </w:p>
    <w:p w14:paraId="67B5D1AD">
      <w:pPr>
        <w:pStyle w:val="10"/>
        <w:numPr>
          <w:ilvl w:val="0"/>
          <w:numId w:val="1"/>
        </w:numPr>
        <w:spacing w:before="156" w:beforeLines="50"/>
        <w:ind w:firstLineChars="0"/>
        <w:rPr>
          <w:rFonts w:hint="eastAsia" w:ascii="黑体" w:hAnsi="黑体" w:eastAsia="黑体"/>
          <w:b/>
          <w:sz w:val="28"/>
          <w:szCs w:val="28"/>
        </w:rPr>
      </w:pPr>
      <w:r>
        <w:rPr>
          <w:rFonts w:ascii="黑体" w:hAnsi="黑体" w:eastAsia="黑体"/>
          <w:b/>
          <w:sz w:val="28"/>
          <w:szCs w:val="28"/>
        </w:rPr>
        <w:t>组织架构</w:t>
      </w:r>
    </w:p>
    <w:p w14:paraId="4539C824">
      <w:pPr>
        <w:pStyle w:val="10"/>
        <w:ind w:left="720" w:firstLine="0" w:firstLineChars="0"/>
        <w:rPr>
          <w:rFonts w:hint="eastAsia" w:ascii="仿宋" w:hAnsi="仿宋" w:eastAsia="仿宋"/>
          <w:sz w:val="28"/>
          <w:szCs w:val="28"/>
        </w:rPr>
      </w:pPr>
      <w:r>
        <w:rPr>
          <w:rFonts w:ascii="仿宋" w:hAnsi="仿宋" w:eastAsia="仿宋"/>
          <w:b/>
          <w:sz w:val="28"/>
          <w:szCs w:val="28"/>
        </w:rPr>
        <w:t>主办单位：</w:t>
      </w:r>
      <w:r>
        <w:rPr>
          <w:rFonts w:hint="eastAsia" w:ascii="仿宋" w:hAnsi="仿宋" w:eastAsia="仿宋"/>
          <w:sz w:val="28"/>
          <w:szCs w:val="28"/>
        </w:rPr>
        <w:t>深圳市侨商智库研究院</w:t>
      </w:r>
    </w:p>
    <w:p w14:paraId="54BFF54D">
      <w:pPr>
        <w:pStyle w:val="10"/>
        <w:ind w:left="720" w:firstLine="0" w:firstLineChars="0"/>
        <w:rPr>
          <w:rFonts w:hint="eastAsia" w:ascii="仿宋" w:hAnsi="仿宋" w:eastAsia="仿宋"/>
          <w:sz w:val="28"/>
          <w:szCs w:val="28"/>
        </w:rPr>
      </w:pPr>
      <w:r>
        <w:rPr>
          <w:rFonts w:ascii="仿宋" w:hAnsi="仿宋" w:eastAsia="仿宋"/>
          <w:b/>
          <w:sz w:val="28"/>
          <w:szCs w:val="28"/>
        </w:rPr>
        <w:t>承办单位：</w:t>
      </w:r>
      <w:r>
        <w:rPr>
          <w:rFonts w:ascii="仿宋" w:hAnsi="仿宋" w:eastAsia="仿宋"/>
          <w:sz w:val="28"/>
          <w:szCs w:val="28"/>
        </w:rPr>
        <w:t>广东广展国际展览有限公司、深圳市侨交会投资管理有限公司</w:t>
      </w:r>
    </w:p>
    <w:p w14:paraId="63327E36">
      <w:pPr>
        <w:pStyle w:val="10"/>
        <w:ind w:left="720" w:firstLine="0" w:firstLineChars="0"/>
        <w:rPr>
          <w:rFonts w:hint="eastAsia" w:ascii="仿宋" w:hAnsi="仿宋" w:eastAsia="仿宋"/>
          <w:sz w:val="28"/>
          <w:szCs w:val="28"/>
        </w:rPr>
      </w:pPr>
      <w:r>
        <w:rPr>
          <w:rFonts w:ascii="仿宋" w:hAnsi="仿宋" w:eastAsia="仿宋"/>
          <w:b/>
          <w:sz w:val="28"/>
          <w:szCs w:val="28"/>
        </w:rPr>
        <w:t>协办单位：</w:t>
      </w:r>
      <w:r>
        <w:rPr>
          <w:rFonts w:ascii="仿宋" w:hAnsi="仿宋" w:eastAsia="仿宋"/>
          <w:sz w:val="28"/>
          <w:szCs w:val="28"/>
        </w:rPr>
        <w:t>越南国家广告博览公司、越南中国商会广东企业联合会（越南粤商会）</w:t>
      </w:r>
    </w:p>
    <w:p w14:paraId="2320C565">
      <w:pPr>
        <w:pStyle w:val="10"/>
        <w:ind w:left="720" w:firstLine="0" w:firstLineChars="0"/>
        <w:rPr>
          <w:rFonts w:hint="eastAsia" w:ascii="仿宋" w:hAnsi="仿宋" w:eastAsia="仿宋"/>
          <w:sz w:val="28"/>
          <w:szCs w:val="28"/>
        </w:rPr>
      </w:pPr>
      <w:r>
        <w:rPr>
          <w:rFonts w:ascii="仿宋" w:hAnsi="仿宋" w:eastAsia="仿宋"/>
          <w:b/>
          <w:sz w:val="28"/>
          <w:szCs w:val="28"/>
        </w:rPr>
        <w:t>支持单位：</w:t>
      </w:r>
      <w:r>
        <w:rPr>
          <w:rFonts w:ascii="仿宋" w:hAnsi="仿宋" w:eastAsia="仿宋"/>
          <w:sz w:val="28"/>
          <w:szCs w:val="28"/>
        </w:rPr>
        <w:t>中国侨商联合会（拟）、中国电子商会（拟）、广东国际商会（拟）、深圳市海外交流协会（拟）、越南中国商会（拟）、越南</w:t>
      </w:r>
      <w:r>
        <w:rPr>
          <w:rFonts w:hint="eastAsia" w:ascii="仿宋" w:hAnsi="仿宋" w:eastAsia="仿宋"/>
          <w:sz w:val="28"/>
          <w:szCs w:val="28"/>
        </w:rPr>
        <w:t>越南软件和信息服务协会</w:t>
      </w:r>
      <w:r>
        <w:rPr>
          <w:rFonts w:ascii="仿宋" w:hAnsi="仿宋" w:eastAsia="仿宋"/>
          <w:sz w:val="28"/>
          <w:szCs w:val="28"/>
        </w:rPr>
        <w:t>（拟）</w:t>
      </w:r>
      <w:r>
        <w:rPr>
          <w:rFonts w:hint="eastAsia" w:ascii="仿宋" w:hAnsi="仿宋" w:eastAsia="仿宋"/>
          <w:sz w:val="28"/>
          <w:szCs w:val="28"/>
        </w:rPr>
        <w:t>、越南办公设备协会</w:t>
      </w:r>
      <w:r>
        <w:rPr>
          <w:rFonts w:ascii="仿宋" w:hAnsi="仿宋" w:eastAsia="仿宋"/>
          <w:sz w:val="28"/>
          <w:szCs w:val="28"/>
        </w:rPr>
        <w:t>（拟）</w:t>
      </w:r>
      <w:r>
        <w:rPr>
          <w:rFonts w:hint="eastAsia" w:ascii="仿宋" w:hAnsi="仿宋" w:eastAsia="仿宋"/>
          <w:sz w:val="28"/>
          <w:szCs w:val="28"/>
        </w:rPr>
        <w:t>、广东省电子数码行业协会</w:t>
      </w:r>
      <w:r>
        <w:rPr>
          <w:rFonts w:ascii="仿宋" w:hAnsi="仿宋" w:eastAsia="仿宋"/>
          <w:sz w:val="28"/>
          <w:szCs w:val="28"/>
        </w:rPr>
        <w:t>（拟）</w:t>
      </w:r>
      <w:r>
        <w:rPr>
          <w:rFonts w:hint="eastAsia" w:ascii="仿宋" w:hAnsi="仿宋" w:eastAsia="仿宋"/>
          <w:sz w:val="28"/>
          <w:szCs w:val="28"/>
        </w:rPr>
        <w:t>、广东省跨境电商协会</w:t>
      </w:r>
      <w:r>
        <w:rPr>
          <w:rFonts w:ascii="仿宋" w:hAnsi="仿宋" w:eastAsia="仿宋"/>
          <w:sz w:val="28"/>
          <w:szCs w:val="28"/>
        </w:rPr>
        <w:t>（拟）</w:t>
      </w:r>
      <w:r>
        <w:rPr>
          <w:rFonts w:hint="eastAsia" w:ascii="仿宋" w:hAnsi="仿宋" w:eastAsia="仿宋"/>
          <w:sz w:val="28"/>
          <w:szCs w:val="28"/>
        </w:rPr>
        <w:t>、深圳市跨境电子商务协会</w:t>
      </w:r>
      <w:r>
        <w:rPr>
          <w:rFonts w:ascii="仿宋" w:hAnsi="仿宋" w:eastAsia="仿宋"/>
          <w:sz w:val="28"/>
          <w:szCs w:val="28"/>
        </w:rPr>
        <w:t>（拟）</w:t>
      </w:r>
    </w:p>
    <w:p w14:paraId="3B417D1F">
      <w:pPr>
        <w:pStyle w:val="10"/>
        <w:numPr>
          <w:ilvl w:val="0"/>
          <w:numId w:val="1"/>
        </w:numPr>
        <w:spacing w:before="156" w:beforeLines="50"/>
        <w:ind w:firstLineChars="0"/>
        <w:rPr>
          <w:rFonts w:hint="eastAsia" w:ascii="黑体" w:hAnsi="黑体" w:eastAsia="黑体"/>
          <w:b/>
          <w:sz w:val="28"/>
          <w:szCs w:val="28"/>
        </w:rPr>
      </w:pPr>
      <w:r>
        <w:rPr>
          <w:rFonts w:hint="eastAsia" w:ascii="黑体" w:hAnsi="黑体" w:eastAsia="黑体"/>
          <w:b/>
          <w:sz w:val="28"/>
          <w:szCs w:val="28"/>
        </w:rPr>
        <w:t>展览范围</w:t>
      </w:r>
    </w:p>
    <w:p w14:paraId="5A69E866">
      <w:pPr>
        <w:pStyle w:val="10"/>
        <w:numPr>
          <w:ilvl w:val="0"/>
          <w:numId w:val="2"/>
        </w:numPr>
        <w:ind w:firstLineChars="0"/>
        <w:rPr>
          <w:rFonts w:hint="eastAsia" w:ascii="仿宋" w:hAnsi="仿宋" w:eastAsia="仿宋"/>
          <w:sz w:val="28"/>
          <w:szCs w:val="28"/>
        </w:rPr>
      </w:pPr>
      <w:r>
        <w:rPr>
          <w:rFonts w:ascii="仿宋" w:hAnsi="仿宋" w:eastAsia="仿宋"/>
          <w:sz w:val="28"/>
          <w:szCs w:val="28"/>
        </w:rPr>
        <w:t>消费电子：</w:t>
      </w:r>
      <w:r>
        <w:rPr>
          <w:rFonts w:hint="eastAsia" w:ascii="仿宋" w:hAnsi="仿宋" w:eastAsia="仿宋"/>
          <w:sz w:val="28"/>
          <w:szCs w:val="28"/>
        </w:rPr>
        <w:t>电竞设备，户外电子，电脑及配件，汽车电子等</w:t>
      </w:r>
    </w:p>
    <w:p w14:paraId="2C057E9A">
      <w:pPr>
        <w:pStyle w:val="10"/>
        <w:numPr>
          <w:ilvl w:val="0"/>
          <w:numId w:val="2"/>
        </w:numPr>
        <w:ind w:firstLineChars="0"/>
        <w:rPr>
          <w:rFonts w:hint="eastAsia" w:ascii="仿宋" w:hAnsi="仿宋" w:eastAsia="仿宋"/>
          <w:sz w:val="28"/>
          <w:szCs w:val="28"/>
        </w:rPr>
      </w:pPr>
      <w:r>
        <w:rPr>
          <w:rFonts w:hint="eastAsia" w:ascii="仿宋" w:hAnsi="仿宋" w:eastAsia="仿宋"/>
          <w:sz w:val="28"/>
          <w:szCs w:val="28"/>
        </w:rPr>
        <w:t>移动电子：智能穿戴，AR/VR，移动音响和耳机，TWS，手机配件，充电产品等</w:t>
      </w:r>
    </w:p>
    <w:p w14:paraId="69D6A2D9">
      <w:pPr>
        <w:pStyle w:val="10"/>
        <w:numPr>
          <w:ilvl w:val="0"/>
          <w:numId w:val="2"/>
        </w:numPr>
        <w:ind w:firstLineChars="0"/>
        <w:rPr>
          <w:rFonts w:hint="eastAsia" w:ascii="仿宋" w:hAnsi="仿宋" w:eastAsia="仿宋"/>
          <w:sz w:val="28"/>
          <w:szCs w:val="28"/>
        </w:rPr>
      </w:pPr>
      <w:r>
        <w:rPr>
          <w:rFonts w:hint="eastAsia" w:ascii="仿宋" w:hAnsi="仿宋" w:eastAsia="仿宋"/>
          <w:sz w:val="28"/>
          <w:szCs w:val="28"/>
        </w:rPr>
        <w:t>智能家居及小家电：全屋智能，安防产品，智能厨电，清洁电器，家用健康监测产品，智能照明，智能网关等</w:t>
      </w:r>
    </w:p>
    <w:p w14:paraId="6A3254EB">
      <w:pPr>
        <w:pStyle w:val="10"/>
        <w:numPr>
          <w:ilvl w:val="0"/>
          <w:numId w:val="2"/>
        </w:numPr>
        <w:ind w:firstLineChars="0"/>
        <w:rPr>
          <w:rFonts w:hint="eastAsia" w:ascii="仿宋" w:hAnsi="仿宋" w:eastAsia="仿宋"/>
          <w:sz w:val="28"/>
          <w:szCs w:val="28"/>
        </w:rPr>
      </w:pPr>
      <w:r>
        <w:rPr>
          <w:rFonts w:hint="eastAsia" w:ascii="仿宋" w:hAnsi="仿宋" w:eastAsia="仿宋"/>
          <w:sz w:val="28"/>
          <w:szCs w:val="28"/>
        </w:rPr>
        <w:t>智慧能源及储能：储能产品，太阳能产品，充电桩产品，氢能产品，其他新能源产品，智能用电解决方案等</w:t>
      </w:r>
    </w:p>
    <w:p w14:paraId="27F09F67">
      <w:pPr>
        <w:pStyle w:val="10"/>
        <w:numPr>
          <w:ilvl w:val="0"/>
          <w:numId w:val="2"/>
        </w:numPr>
        <w:ind w:firstLineChars="0"/>
        <w:rPr>
          <w:rFonts w:hint="eastAsia" w:ascii="仿宋" w:hAnsi="仿宋" w:eastAsia="仿宋"/>
          <w:sz w:val="28"/>
          <w:szCs w:val="28"/>
        </w:rPr>
      </w:pPr>
      <w:r>
        <w:rPr>
          <w:rFonts w:hint="eastAsia" w:ascii="仿宋" w:hAnsi="仿宋" w:eastAsia="仿宋"/>
          <w:sz w:val="28"/>
          <w:szCs w:val="28"/>
        </w:rPr>
        <w:t>人工智能：AI芯片，智能机器人，计算机视觉，大数据处理，识别技术，智慧汽车等</w:t>
      </w:r>
    </w:p>
    <w:p w14:paraId="551FF8B3">
      <w:pPr>
        <w:pStyle w:val="10"/>
        <w:numPr>
          <w:ilvl w:val="0"/>
          <w:numId w:val="2"/>
        </w:numPr>
        <w:ind w:firstLineChars="0"/>
        <w:rPr>
          <w:rFonts w:hint="eastAsia" w:ascii="仿宋" w:hAnsi="仿宋" w:eastAsia="仿宋"/>
          <w:sz w:val="28"/>
          <w:szCs w:val="28"/>
        </w:rPr>
      </w:pPr>
      <w:r>
        <w:rPr>
          <w:rFonts w:hint="eastAsia" w:ascii="仿宋" w:hAnsi="仿宋" w:eastAsia="仿宋"/>
          <w:sz w:val="28"/>
          <w:szCs w:val="28"/>
        </w:rPr>
        <w:t>天空设备和机器：消费级无人机，空间技术与产品，太空旅游，城市空中交通，低空物流，低空旅游和娱乐等</w:t>
      </w:r>
    </w:p>
    <w:p w14:paraId="4694D367">
      <w:pPr>
        <w:pStyle w:val="10"/>
        <w:numPr>
          <w:ilvl w:val="0"/>
          <w:numId w:val="2"/>
        </w:numPr>
        <w:ind w:firstLineChars="0"/>
        <w:rPr>
          <w:rFonts w:hint="eastAsia" w:ascii="仿宋" w:hAnsi="仿宋" w:eastAsia="仿宋"/>
          <w:sz w:val="28"/>
          <w:szCs w:val="28"/>
        </w:rPr>
      </w:pPr>
      <w:r>
        <w:rPr>
          <w:rFonts w:ascii="仿宋" w:hAnsi="仿宋" w:eastAsia="仿宋"/>
          <w:sz w:val="28"/>
          <w:szCs w:val="28"/>
        </w:rPr>
        <w:t>跨境电商：电商平台、</w:t>
      </w:r>
      <w:r>
        <w:rPr>
          <w:rFonts w:hint="eastAsia" w:ascii="仿宋" w:hAnsi="仿宋" w:eastAsia="仿宋"/>
          <w:sz w:val="28"/>
          <w:szCs w:val="28"/>
        </w:rPr>
        <w:t>M</w:t>
      </w:r>
      <w:r>
        <w:rPr>
          <w:rFonts w:ascii="仿宋" w:hAnsi="仿宋" w:eastAsia="仿宋"/>
          <w:sz w:val="28"/>
          <w:szCs w:val="28"/>
        </w:rPr>
        <w:t>CN机构、代运营公司、物流仓储支付公司、供应链公司、</w:t>
      </w:r>
      <w:r>
        <w:rPr>
          <w:rFonts w:hint="eastAsia" w:ascii="仿宋" w:hAnsi="仿宋" w:eastAsia="仿宋"/>
          <w:sz w:val="28"/>
          <w:szCs w:val="28"/>
        </w:rPr>
        <w:t>E</w:t>
      </w:r>
      <w:r>
        <w:rPr>
          <w:rFonts w:ascii="仿宋" w:hAnsi="仿宋" w:eastAsia="仿宋"/>
          <w:sz w:val="28"/>
          <w:szCs w:val="28"/>
        </w:rPr>
        <w:t>RP等软件公司、知识产权公司等</w:t>
      </w:r>
    </w:p>
    <w:p w14:paraId="567EF13B">
      <w:pPr>
        <w:pStyle w:val="10"/>
        <w:ind w:firstLine="0" w:firstLineChars="0"/>
        <w:jc w:val="center"/>
        <w:rPr>
          <w:rFonts w:hint="eastAsia" w:ascii="仿宋" w:hAnsi="仿宋" w:eastAsia="仿宋"/>
          <w:sz w:val="28"/>
          <w:szCs w:val="28"/>
        </w:rPr>
      </w:pPr>
      <w:r>
        <w:drawing>
          <wp:inline distT="0" distB="0" distL="114300" distR="114300">
            <wp:extent cx="5273675" cy="1198245"/>
            <wp:effectExtent l="0" t="0" r="9525"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273675" cy="1198245"/>
                    </a:xfrm>
                    <a:prstGeom prst="rect">
                      <a:avLst/>
                    </a:prstGeom>
                    <a:noFill/>
                    <a:ln>
                      <a:noFill/>
                    </a:ln>
                  </pic:spPr>
                </pic:pic>
              </a:graphicData>
            </a:graphic>
          </wp:inline>
        </w:drawing>
      </w:r>
    </w:p>
    <w:p w14:paraId="5EF943F7">
      <w:pPr>
        <w:pStyle w:val="10"/>
        <w:numPr>
          <w:ilvl w:val="0"/>
          <w:numId w:val="1"/>
        </w:numPr>
        <w:spacing w:before="156" w:beforeLines="50"/>
        <w:ind w:firstLineChars="0"/>
        <w:rPr>
          <w:rFonts w:hint="eastAsia" w:ascii="黑体" w:hAnsi="黑体" w:eastAsia="黑体"/>
          <w:b/>
          <w:sz w:val="28"/>
          <w:szCs w:val="28"/>
        </w:rPr>
      </w:pPr>
      <w:r>
        <w:rPr>
          <w:rFonts w:ascii="黑体" w:hAnsi="黑体" w:eastAsia="黑体"/>
          <w:b/>
          <w:sz w:val="28"/>
          <w:szCs w:val="28"/>
        </w:rPr>
        <w:t>同期活动</w:t>
      </w:r>
    </w:p>
    <w:p w14:paraId="1BB14B46">
      <w:pPr>
        <w:pStyle w:val="10"/>
        <w:numPr>
          <w:ilvl w:val="1"/>
          <w:numId w:val="1"/>
        </w:numPr>
        <w:ind w:firstLineChars="0"/>
        <w:rPr>
          <w:rFonts w:hint="eastAsia" w:ascii="仿宋" w:hAnsi="仿宋" w:eastAsia="仿宋"/>
          <w:b/>
          <w:sz w:val="28"/>
          <w:szCs w:val="28"/>
        </w:rPr>
      </w:pPr>
      <w:r>
        <w:rPr>
          <w:rFonts w:ascii="仿宋" w:hAnsi="仿宋" w:eastAsia="仿宋"/>
          <w:b/>
          <w:sz w:val="28"/>
          <w:szCs w:val="28"/>
        </w:rPr>
        <w:t>第十九届国际民间交流圆桌会：</w:t>
      </w:r>
    </w:p>
    <w:p w14:paraId="7BA18F86">
      <w:pPr>
        <w:pStyle w:val="10"/>
        <w:ind w:left="840" w:firstLine="0" w:firstLineChars="0"/>
        <w:rPr>
          <w:rFonts w:hint="eastAsia" w:ascii="仿宋" w:hAnsi="仿宋" w:eastAsia="仿宋"/>
          <w:b/>
          <w:sz w:val="28"/>
          <w:szCs w:val="28"/>
        </w:rPr>
      </w:pPr>
      <w:r>
        <w:rPr>
          <w:rFonts w:ascii="仿宋" w:hAnsi="仿宋" w:eastAsia="仿宋"/>
          <w:b/>
          <w:sz w:val="28"/>
          <w:szCs w:val="28"/>
        </w:rPr>
        <w:t>中企出海趋势与</w:t>
      </w:r>
      <w:r>
        <w:rPr>
          <w:rFonts w:hint="eastAsia" w:ascii="仿宋" w:hAnsi="仿宋" w:eastAsia="仿宋"/>
          <w:b/>
          <w:sz w:val="28"/>
          <w:szCs w:val="28"/>
        </w:rPr>
        <w:t>机遇</w:t>
      </w:r>
      <w:r>
        <w:rPr>
          <w:rFonts w:ascii="仿宋" w:hAnsi="仿宋" w:eastAsia="仿宋"/>
          <w:b/>
          <w:sz w:val="28"/>
          <w:szCs w:val="28"/>
        </w:rPr>
        <w:t>—中越电子产业链、供应链协同创新发展</w:t>
      </w:r>
    </w:p>
    <w:p w14:paraId="000BF262">
      <w:pPr>
        <w:pStyle w:val="10"/>
        <w:ind w:left="840" w:firstLine="0" w:firstLineChars="0"/>
        <w:rPr>
          <w:rFonts w:hint="eastAsia" w:ascii="仿宋" w:hAnsi="仿宋" w:eastAsia="仿宋"/>
          <w:sz w:val="28"/>
          <w:szCs w:val="28"/>
        </w:rPr>
      </w:pPr>
      <w:r>
        <w:rPr>
          <w:rFonts w:hint="eastAsia" w:ascii="仿宋" w:hAnsi="仿宋" w:eastAsia="仿宋"/>
          <w:sz w:val="28"/>
          <w:szCs w:val="28"/>
        </w:rPr>
        <w:t>汇聚中越两国电子产业领军企业、专家学者共同探讨中越电子产业链、供应链协同创新发展面临的挑战与机遇。</w:t>
      </w:r>
    </w:p>
    <w:p w14:paraId="655E3FE3">
      <w:pPr>
        <w:pStyle w:val="10"/>
        <w:ind w:left="840" w:firstLine="0" w:firstLineChars="0"/>
        <w:rPr>
          <w:rFonts w:hint="eastAsia" w:ascii="仿宋" w:hAnsi="仿宋" w:eastAsia="仿宋"/>
          <w:sz w:val="28"/>
          <w:szCs w:val="28"/>
        </w:rPr>
      </w:pPr>
      <w:r>
        <w:rPr>
          <w:rFonts w:ascii="仿宋" w:hAnsi="仿宋" w:eastAsia="仿宋"/>
          <w:b/>
          <w:sz w:val="28"/>
          <w:szCs w:val="28"/>
        </w:rPr>
        <w:t>协办单位（拟）：</w:t>
      </w:r>
      <w:r>
        <w:rPr>
          <w:rFonts w:ascii="仿宋" w:hAnsi="仿宋" w:eastAsia="仿宋"/>
          <w:sz w:val="28"/>
          <w:szCs w:val="28"/>
        </w:rPr>
        <w:t>山海图、中印越电子手机协会、中越中电子城、</w:t>
      </w:r>
      <w:r>
        <w:rPr>
          <w:rFonts w:hint="eastAsia" w:ascii="仿宋" w:hAnsi="仿宋" w:eastAsia="仿宋"/>
          <w:sz w:val="28"/>
          <w:szCs w:val="28"/>
        </w:rPr>
        <w:t>Equal</w:t>
      </w:r>
      <w:r>
        <w:rPr>
          <w:rFonts w:ascii="仿宋" w:hAnsi="仿宋" w:eastAsia="仿宋"/>
          <w:sz w:val="28"/>
          <w:szCs w:val="28"/>
        </w:rPr>
        <w:t>Occan</w:t>
      </w:r>
    </w:p>
    <w:p w14:paraId="6BC5E0B3">
      <w:pPr>
        <w:pStyle w:val="10"/>
        <w:numPr>
          <w:ilvl w:val="1"/>
          <w:numId w:val="1"/>
        </w:numPr>
        <w:spacing w:before="156" w:beforeLines="50"/>
        <w:ind w:firstLineChars="0"/>
        <w:rPr>
          <w:rFonts w:hint="eastAsia" w:ascii="仿宋" w:hAnsi="仿宋" w:eastAsia="仿宋"/>
          <w:b/>
          <w:sz w:val="28"/>
          <w:szCs w:val="28"/>
        </w:rPr>
      </w:pPr>
      <w:r>
        <w:rPr>
          <w:rFonts w:ascii="仿宋" w:hAnsi="仿宋" w:eastAsia="仿宋"/>
          <w:b/>
          <w:sz w:val="28"/>
          <w:szCs w:val="28"/>
        </w:rPr>
        <w:t>越南跨境电商选品及生态资源对接大会</w:t>
      </w:r>
    </w:p>
    <w:p w14:paraId="214A1676">
      <w:pPr>
        <w:pStyle w:val="10"/>
        <w:ind w:left="840" w:firstLine="0" w:firstLineChars="0"/>
        <w:rPr>
          <w:rFonts w:hint="eastAsia" w:ascii="仿宋" w:hAnsi="仿宋" w:eastAsia="仿宋"/>
          <w:b/>
          <w:sz w:val="28"/>
          <w:szCs w:val="28"/>
        </w:rPr>
      </w:pPr>
      <w:r>
        <w:rPr>
          <w:rFonts w:ascii="仿宋" w:hAnsi="仿宋" w:eastAsia="仿宋"/>
          <w:sz w:val="28"/>
          <w:szCs w:val="28"/>
        </w:rPr>
        <w:t>集结越南当地的中资电商生态资源，与参展企业、国内品牌商、供应链公司等做深度对接，并在当地共同成立直播基地，共同服务中国品牌出海。</w:t>
      </w:r>
    </w:p>
    <w:p w14:paraId="324C61D8">
      <w:pPr>
        <w:pStyle w:val="10"/>
        <w:ind w:left="840" w:firstLine="0" w:firstLineChars="0"/>
        <w:rPr>
          <w:rFonts w:hint="eastAsia" w:ascii="仿宋" w:hAnsi="仿宋" w:eastAsia="仿宋"/>
          <w:sz w:val="28"/>
          <w:szCs w:val="28"/>
        </w:rPr>
      </w:pPr>
      <w:r>
        <w:rPr>
          <w:rFonts w:ascii="仿宋" w:hAnsi="仿宋" w:eastAsia="仿宋"/>
          <w:b/>
          <w:sz w:val="28"/>
          <w:szCs w:val="28"/>
        </w:rPr>
        <w:t>协办单位：</w:t>
      </w:r>
      <w:r>
        <w:rPr>
          <w:rFonts w:ascii="仿宋" w:hAnsi="仿宋" w:eastAsia="仿宋"/>
          <w:sz w:val="28"/>
          <w:szCs w:val="28"/>
        </w:rPr>
        <w:t>广东省跨境电商协会、深圳市跨境电子商务协会、</w:t>
      </w:r>
      <w:r>
        <w:rPr>
          <w:rFonts w:hint="eastAsia" w:ascii="仿宋" w:hAnsi="仿宋" w:eastAsia="仿宋"/>
          <w:sz w:val="28"/>
          <w:szCs w:val="28"/>
        </w:rPr>
        <w:t>越南电子商务协会（拟）、Tik</w:t>
      </w:r>
      <w:r>
        <w:rPr>
          <w:rFonts w:ascii="仿宋" w:hAnsi="仿宋" w:eastAsia="仿宋"/>
          <w:sz w:val="28"/>
          <w:szCs w:val="28"/>
        </w:rPr>
        <w:t>Tok（越南）</w:t>
      </w:r>
    </w:p>
    <w:p w14:paraId="37525F0E">
      <w:pPr>
        <w:pStyle w:val="10"/>
        <w:numPr>
          <w:ilvl w:val="1"/>
          <w:numId w:val="1"/>
        </w:numPr>
        <w:spacing w:before="156" w:beforeLines="50"/>
        <w:ind w:firstLineChars="0"/>
        <w:rPr>
          <w:rFonts w:hint="eastAsia" w:ascii="仿宋" w:hAnsi="仿宋" w:eastAsia="仿宋"/>
          <w:b/>
          <w:sz w:val="28"/>
          <w:szCs w:val="28"/>
        </w:rPr>
      </w:pPr>
      <w:r>
        <w:rPr>
          <w:rFonts w:hint="eastAsia" w:ascii="仿宋" w:hAnsi="仿宋" w:eastAsia="仿宋"/>
          <w:b/>
          <w:sz w:val="28"/>
          <w:szCs w:val="28"/>
        </w:rPr>
        <w:t>B</w:t>
      </w:r>
      <w:r>
        <w:rPr>
          <w:rFonts w:ascii="仿宋" w:hAnsi="仿宋" w:eastAsia="仿宋"/>
          <w:b/>
          <w:sz w:val="28"/>
          <w:szCs w:val="28"/>
        </w:rPr>
        <w:t>2B项目洽谈会</w:t>
      </w:r>
    </w:p>
    <w:p w14:paraId="6E156FC7">
      <w:pPr>
        <w:pStyle w:val="10"/>
        <w:ind w:left="840" w:firstLine="0" w:firstLineChars="0"/>
        <w:rPr>
          <w:rFonts w:hint="eastAsia" w:ascii="仿宋" w:hAnsi="仿宋" w:eastAsia="仿宋"/>
          <w:sz w:val="28"/>
          <w:szCs w:val="28"/>
        </w:rPr>
      </w:pPr>
      <w:r>
        <w:rPr>
          <w:rFonts w:ascii="仿宋" w:hAnsi="仿宋" w:eastAsia="仿宋"/>
          <w:sz w:val="28"/>
          <w:szCs w:val="28"/>
        </w:rPr>
        <w:t>发布</w:t>
      </w:r>
      <w:r>
        <w:rPr>
          <w:rFonts w:hint="eastAsia" w:ascii="仿宋" w:hAnsi="仿宋" w:eastAsia="仿宋"/>
          <w:sz w:val="28"/>
          <w:szCs w:val="28"/>
        </w:rPr>
        <w:t>3</w:t>
      </w:r>
      <w:r>
        <w:rPr>
          <w:rFonts w:ascii="仿宋" w:hAnsi="仿宋" w:eastAsia="仿宋"/>
          <w:sz w:val="28"/>
          <w:szCs w:val="28"/>
        </w:rPr>
        <w:t>0个采购项目包，</w:t>
      </w:r>
      <w:r>
        <w:rPr>
          <w:rFonts w:hint="eastAsia" w:ascii="仿宋" w:hAnsi="仿宋" w:eastAsia="仿宋"/>
          <w:sz w:val="28"/>
          <w:szCs w:val="28"/>
        </w:rPr>
        <w:t>为参展企业和越南采购商提供V</w:t>
      </w:r>
      <w:r>
        <w:rPr>
          <w:rFonts w:ascii="仿宋" w:hAnsi="仿宋" w:eastAsia="仿宋"/>
          <w:sz w:val="28"/>
          <w:szCs w:val="28"/>
        </w:rPr>
        <w:t>IP对接服务。</w:t>
      </w:r>
    </w:p>
    <w:p w14:paraId="476E2160">
      <w:pPr>
        <w:pStyle w:val="10"/>
        <w:ind w:left="840" w:firstLine="0" w:firstLineChars="0"/>
        <w:rPr>
          <w:rFonts w:hint="eastAsia" w:ascii="仿宋" w:hAnsi="仿宋" w:eastAsia="仿宋"/>
          <w:sz w:val="28"/>
          <w:szCs w:val="28"/>
        </w:rPr>
      </w:pPr>
      <w:r>
        <w:rPr>
          <w:rFonts w:ascii="仿宋" w:hAnsi="仿宋" w:eastAsia="仿宋"/>
          <w:b/>
          <w:sz w:val="28"/>
          <w:szCs w:val="28"/>
        </w:rPr>
        <w:t>协办单位：</w:t>
      </w:r>
      <w:r>
        <w:rPr>
          <w:rFonts w:ascii="仿宋" w:hAnsi="仿宋" w:eastAsia="仿宋"/>
          <w:sz w:val="28"/>
          <w:szCs w:val="28"/>
        </w:rPr>
        <w:t>越南粤商会、中越中电子城、越南各有关机构</w:t>
      </w:r>
    </w:p>
    <w:p w14:paraId="670331EB">
      <w:pPr>
        <w:pStyle w:val="10"/>
        <w:numPr>
          <w:ilvl w:val="1"/>
          <w:numId w:val="1"/>
        </w:numPr>
        <w:spacing w:before="156" w:beforeLines="50"/>
        <w:ind w:firstLineChars="0"/>
        <w:rPr>
          <w:rFonts w:hint="eastAsia" w:ascii="仿宋" w:hAnsi="仿宋" w:eastAsia="仿宋"/>
          <w:b/>
          <w:sz w:val="28"/>
          <w:szCs w:val="28"/>
        </w:rPr>
      </w:pPr>
      <w:r>
        <w:rPr>
          <w:rFonts w:ascii="仿宋" w:hAnsi="仿宋" w:eastAsia="仿宋"/>
          <w:b/>
          <w:sz w:val="28"/>
          <w:szCs w:val="28"/>
        </w:rPr>
        <w:t>企业新品发布会</w:t>
      </w:r>
    </w:p>
    <w:p w14:paraId="009F009B">
      <w:pPr>
        <w:pStyle w:val="10"/>
        <w:ind w:left="840" w:firstLine="0" w:firstLineChars="0"/>
        <w:rPr>
          <w:rFonts w:hint="eastAsia" w:ascii="仿宋" w:hAnsi="仿宋" w:eastAsia="仿宋"/>
          <w:sz w:val="28"/>
          <w:szCs w:val="28"/>
        </w:rPr>
      </w:pPr>
      <w:r>
        <w:rPr>
          <w:rFonts w:hint="eastAsia" w:ascii="仿宋" w:hAnsi="仿宋" w:eastAsia="仿宋"/>
          <w:sz w:val="28"/>
          <w:szCs w:val="28"/>
        </w:rPr>
        <w:t>邀请越南相关企业、行业协会参加，越南媒体现场报道，为参展企业提升品牌知名度、拓展越南市场助力。</w:t>
      </w:r>
    </w:p>
    <w:p w14:paraId="6EE6F3ED">
      <w:pPr>
        <w:pStyle w:val="10"/>
        <w:ind w:left="840" w:firstLine="0" w:firstLineChars="0"/>
        <w:rPr>
          <w:rFonts w:hint="eastAsia" w:ascii="仿宋" w:hAnsi="仿宋" w:eastAsia="仿宋"/>
          <w:sz w:val="28"/>
          <w:szCs w:val="28"/>
        </w:rPr>
      </w:pPr>
      <w:r>
        <w:rPr>
          <w:rFonts w:ascii="仿宋" w:hAnsi="仿宋" w:eastAsia="仿宋"/>
          <w:b/>
          <w:sz w:val="28"/>
          <w:szCs w:val="28"/>
        </w:rPr>
        <w:t>媒体邀请：</w:t>
      </w:r>
      <w:r>
        <w:rPr>
          <w:rFonts w:ascii="仿宋" w:hAnsi="仿宋" w:eastAsia="仿宋"/>
          <w:sz w:val="28"/>
          <w:szCs w:val="28"/>
        </w:rPr>
        <w:t>36氪（拟）、西贡解放日报</w:t>
      </w:r>
    </w:p>
    <w:p w14:paraId="2D28BF17">
      <w:pPr>
        <w:pStyle w:val="10"/>
        <w:numPr>
          <w:ilvl w:val="1"/>
          <w:numId w:val="1"/>
        </w:numPr>
        <w:spacing w:before="156" w:beforeLines="50"/>
        <w:ind w:firstLineChars="0"/>
        <w:rPr>
          <w:rFonts w:hint="eastAsia" w:ascii="仿宋" w:hAnsi="仿宋" w:eastAsia="仿宋"/>
          <w:b/>
          <w:sz w:val="28"/>
          <w:szCs w:val="28"/>
        </w:rPr>
      </w:pPr>
      <w:r>
        <w:rPr>
          <w:rFonts w:ascii="仿宋" w:hAnsi="仿宋" w:eastAsia="仿宋"/>
          <w:b/>
          <w:sz w:val="28"/>
          <w:szCs w:val="28"/>
        </w:rPr>
        <w:t>展商之夜欢迎晚宴</w:t>
      </w:r>
    </w:p>
    <w:p w14:paraId="0F379B44">
      <w:pPr>
        <w:pStyle w:val="10"/>
        <w:ind w:left="840" w:firstLine="0" w:firstLineChars="0"/>
        <w:rPr>
          <w:rFonts w:hint="eastAsia" w:ascii="仿宋" w:hAnsi="仿宋" w:eastAsia="仿宋"/>
          <w:sz w:val="28"/>
          <w:szCs w:val="28"/>
        </w:rPr>
      </w:pPr>
      <w:r>
        <w:rPr>
          <w:rFonts w:ascii="仿宋" w:hAnsi="仿宋" w:eastAsia="仿宋"/>
          <w:sz w:val="28"/>
          <w:szCs w:val="28"/>
        </w:rPr>
        <w:t>邀请</w:t>
      </w:r>
      <w:r>
        <w:rPr>
          <w:rFonts w:hint="eastAsia" w:ascii="仿宋" w:hAnsi="仿宋" w:eastAsia="仿宋"/>
          <w:sz w:val="28"/>
          <w:szCs w:val="28"/>
        </w:rPr>
        <w:t>全体参展企业与越南采购商、越南当地</w:t>
      </w:r>
      <w:r>
        <w:rPr>
          <w:rFonts w:ascii="仿宋" w:hAnsi="仿宋" w:eastAsia="仿宋"/>
          <w:sz w:val="28"/>
          <w:szCs w:val="28"/>
        </w:rPr>
        <w:t>广东商会、山东商会、浙江商会、香港商会等</w:t>
      </w:r>
      <w:r>
        <w:rPr>
          <w:rFonts w:hint="eastAsia" w:ascii="仿宋" w:hAnsi="仿宋" w:eastAsia="仿宋"/>
          <w:sz w:val="28"/>
          <w:szCs w:val="28"/>
        </w:rPr>
        <w:t>2</w:t>
      </w:r>
      <w:r>
        <w:rPr>
          <w:rFonts w:ascii="仿宋" w:hAnsi="仿宋" w:eastAsia="仿宋"/>
          <w:sz w:val="28"/>
          <w:szCs w:val="28"/>
        </w:rPr>
        <w:t>1个华人商会</w:t>
      </w:r>
      <w:r>
        <w:rPr>
          <w:rFonts w:hint="eastAsia" w:ascii="仿宋" w:hAnsi="仿宋" w:eastAsia="仿宋"/>
          <w:sz w:val="28"/>
          <w:szCs w:val="28"/>
        </w:rPr>
        <w:t>嘉宾齐聚一堂，通过社交，加强认识与了解，交流观点，促进合作。</w:t>
      </w:r>
    </w:p>
    <w:p w14:paraId="634C453C">
      <w:pPr>
        <w:pStyle w:val="10"/>
        <w:ind w:left="840" w:firstLine="0" w:firstLineChars="0"/>
        <w:rPr>
          <w:rFonts w:hint="eastAsia" w:ascii="仿宋" w:hAnsi="仿宋" w:eastAsia="仿宋"/>
          <w:sz w:val="28"/>
          <w:szCs w:val="28"/>
        </w:rPr>
      </w:pPr>
      <w:r>
        <w:rPr>
          <w:rFonts w:ascii="仿宋" w:hAnsi="仿宋" w:eastAsia="仿宋"/>
          <w:b/>
          <w:sz w:val="28"/>
          <w:szCs w:val="28"/>
        </w:rPr>
        <w:t>协办单位：</w:t>
      </w:r>
      <w:r>
        <w:rPr>
          <w:rFonts w:ascii="仿宋" w:hAnsi="仿宋" w:eastAsia="仿宋"/>
          <w:sz w:val="28"/>
          <w:szCs w:val="28"/>
        </w:rPr>
        <w:t>越南中国商会广东企业联合会</w:t>
      </w:r>
    </w:p>
    <w:p w14:paraId="0008FE38">
      <w:pPr>
        <w:pStyle w:val="10"/>
        <w:numPr>
          <w:ilvl w:val="1"/>
          <w:numId w:val="1"/>
        </w:numPr>
        <w:spacing w:before="156" w:beforeLines="50"/>
        <w:ind w:firstLineChars="0"/>
        <w:rPr>
          <w:rFonts w:hint="eastAsia" w:ascii="仿宋" w:hAnsi="仿宋" w:eastAsia="仿宋"/>
          <w:b/>
          <w:sz w:val="28"/>
          <w:szCs w:val="28"/>
        </w:rPr>
      </w:pPr>
      <w:r>
        <w:rPr>
          <w:rFonts w:ascii="仿宋" w:hAnsi="仿宋" w:eastAsia="仿宋"/>
          <w:b/>
          <w:sz w:val="28"/>
          <w:szCs w:val="28"/>
        </w:rPr>
        <w:t>商务考察</w:t>
      </w:r>
    </w:p>
    <w:p w14:paraId="740D61A3">
      <w:pPr>
        <w:pStyle w:val="10"/>
        <w:ind w:firstLine="840" w:firstLineChars="300"/>
        <w:rPr>
          <w:rFonts w:hint="eastAsia" w:ascii="仿宋" w:hAnsi="仿宋" w:eastAsia="仿宋"/>
          <w:sz w:val="28"/>
          <w:szCs w:val="28"/>
        </w:rPr>
      </w:pPr>
      <w:r>
        <w:rPr>
          <w:rFonts w:hint="eastAsia" w:ascii="仿宋" w:hAnsi="仿宋" w:eastAsia="仿宋"/>
          <w:sz w:val="28"/>
          <w:szCs w:val="28"/>
        </w:rPr>
        <w:t>路线一：</w:t>
      </w:r>
      <w:r>
        <w:rPr>
          <w:rFonts w:ascii="仿宋" w:hAnsi="仿宋" w:eastAsia="仿宋"/>
          <w:sz w:val="28"/>
          <w:szCs w:val="28"/>
        </w:rPr>
        <w:t>越南园区考察、相关政府机构拜访；</w:t>
      </w:r>
    </w:p>
    <w:p w14:paraId="4067AC5E">
      <w:pPr>
        <w:pStyle w:val="10"/>
        <w:ind w:firstLine="840" w:firstLineChars="300"/>
        <w:rPr>
          <w:rFonts w:hint="eastAsia" w:ascii="仿宋" w:hAnsi="仿宋" w:eastAsia="仿宋"/>
          <w:sz w:val="28"/>
          <w:szCs w:val="28"/>
        </w:rPr>
      </w:pPr>
      <w:r>
        <w:rPr>
          <w:rFonts w:hint="eastAsia" w:ascii="仿宋" w:hAnsi="仿宋" w:eastAsia="仿宋"/>
          <w:sz w:val="28"/>
          <w:szCs w:val="28"/>
        </w:rPr>
        <w:t>路线二：当地市场走访、大采购商对接、电商生态对接；</w:t>
      </w:r>
    </w:p>
    <w:p w14:paraId="644C66E4">
      <w:pPr>
        <w:pStyle w:val="10"/>
        <w:ind w:firstLine="840" w:firstLineChars="300"/>
        <w:rPr>
          <w:rFonts w:hint="eastAsia" w:ascii="仿宋" w:hAnsi="仿宋" w:eastAsia="仿宋"/>
          <w:sz w:val="28"/>
          <w:szCs w:val="28"/>
        </w:rPr>
      </w:pPr>
      <w:r>
        <w:rPr>
          <w:rFonts w:hint="eastAsia" w:ascii="仿宋" w:hAnsi="仿宋" w:eastAsia="仿宋"/>
          <w:sz w:val="28"/>
          <w:szCs w:val="28"/>
        </w:rPr>
        <w:t>路线三：</w:t>
      </w:r>
      <w:r>
        <w:rPr>
          <w:rFonts w:ascii="仿宋" w:hAnsi="仿宋" w:eastAsia="仿宋"/>
          <w:sz w:val="28"/>
          <w:szCs w:val="28"/>
        </w:rPr>
        <w:t>海尔智家（越南）、</w:t>
      </w:r>
      <w:r>
        <w:rPr>
          <w:rFonts w:hint="eastAsia" w:ascii="仿宋" w:hAnsi="仿宋" w:eastAsia="仿宋"/>
          <w:sz w:val="28"/>
          <w:szCs w:val="28"/>
        </w:rPr>
        <w:t>T</w:t>
      </w:r>
      <w:r>
        <w:rPr>
          <w:rFonts w:ascii="仿宋" w:hAnsi="仿宋" w:eastAsia="仿宋"/>
          <w:sz w:val="28"/>
          <w:szCs w:val="28"/>
        </w:rPr>
        <w:t>CL等知名中资企业拜访</w:t>
      </w:r>
      <w:r>
        <w:rPr>
          <w:rFonts w:hint="eastAsia" w:ascii="仿宋" w:hAnsi="仿宋" w:eastAsia="仿宋"/>
          <w:sz w:val="28"/>
          <w:szCs w:val="28"/>
        </w:rPr>
        <w:t>；</w:t>
      </w:r>
    </w:p>
    <w:p w14:paraId="62142360">
      <w:pPr>
        <w:pStyle w:val="10"/>
        <w:ind w:firstLine="840" w:firstLineChars="300"/>
        <w:rPr>
          <w:rFonts w:hint="eastAsia" w:ascii="仿宋" w:hAnsi="仿宋" w:eastAsia="仿宋"/>
          <w:sz w:val="28"/>
          <w:szCs w:val="28"/>
        </w:rPr>
      </w:pPr>
    </w:p>
    <w:p w14:paraId="399DFEF4">
      <w:pPr>
        <w:pStyle w:val="10"/>
        <w:numPr>
          <w:ilvl w:val="0"/>
          <w:numId w:val="1"/>
        </w:numPr>
        <w:ind w:firstLineChars="0"/>
        <w:rPr>
          <w:rFonts w:hint="eastAsia" w:ascii="黑体" w:hAnsi="黑体" w:eastAsia="黑体"/>
          <w:b/>
          <w:sz w:val="28"/>
          <w:szCs w:val="28"/>
        </w:rPr>
      </w:pPr>
      <w:r>
        <w:rPr>
          <w:rFonts w:ascii="黑体" w:hAnsi="黑体" w:eastAsia="黑体"/>
          <w:b/>
          <w:sz w:val="28"/>
          <w:szCs w:val="28"/>
        </w:rPr>
        <w:t>历届展会成效</w:t>
      </w:r>
    </w:p>
    <w:p w14:paraId="7D4AB1C0">
      <w:pPr>
        <w:pStyle w:val="10"/>
        <w:numPr>
          <w:ilvl w:val="1"/>
          <w:numId w:val="1"/>
        </w:numPr>
        <w:ind w:firstLineChars="0"/>
        <w:rPr>
          <w:rFonts w:hint="eastAsia" w:ascii="仿宋" w:hAnsi="仿宋" w:eastAsia="仿宋" w:cs="Tahoma"/>
          <w:kern w:val="0"/>
          <w:sz w:val="28"/>
          <w:szCs w:val="28"/>
        </w:rPr>
      </w:pPr>
      <w:r>
        <w:rPr>
          <w:rFonts w:hint="eastAsia" w:ascii="仿宋" w:hAnsi="仿宋" w:eastAsia="仿宋" w:cs="Tahoma"/>
          <w:kern w:val="0"/>
          <w:sz w:val="28"/>
          <w:szCs w:val="28"/>
        </w:rPr>
        <w:t>2023年，累计到场观众</w:t>
      </w:r>
      <w:r>
        <w:rPr>
          <w:rFonts w:hint="eastAsia" w:ascii="仿宋" w:hAnsi="仿宋" w:eastAsia="仿宋" w:cs="Tahoma"/>
          <w:b/>
          <w:bCs/>
          <w:kern w:val="0"/>
          <w:sz w:val="28"/>
          <w:szCs w:val="28"/>
        </w:rPr>
        <w:t>8</w:t>
      </w:r>
      <w:r>
        <w:rPr>
          <w:rFonts w:ascii="仿宋" w:hAnsi="仿宋" w:eastAsia="仿宋" w:cs="Tahoma"/>
          <w:b/>
          <w:bCs/>
          <w:kern w:val="0"/>
          <w:sz w:val="28"/>
          <w:szCs w:val="28"/>
        </w:rPr>
        <w:t>,</w:t>
      </w:r>
      <w:r>
        <w:rPr>
          <w:rFonts w:hint="eastAsia" w:ascii="仿宋" w:hAnsi="仿宋" w:eastAsia="仿宋" w:cs="Tahoma"/>
          <w:b/>
          <w:bCs/>
          <w:kern w:val="0"/>
          <w:sz w:val="28"/>
          <w:szCs w:val="28"/>
        </w:rPr>
        <w:t>000人次</w:t>
      </w:r>
      <w:r>
        <w:rPr>
          <w:rFonts w:hint="eastAsia" w:ascii="仿宋" w:hAnsi="仿宋" w:eastAsia="仿宋" w:cs="Tahoma"/>
          <w:kern w:val="0"/>
          <w:sz w:val="28"/>
          <w:szCs w:val="28"/>
        </w:rPr>
        <w:t>，现场签订意向采购协议</w:t>
      </w:r>
      <w:r>
        <w:rPr>
          <w:rFonts w:hint="eastAsia" w:ascii="仿宋" w:hAnsi="仿宋" w:eastAsia="仿宋" w:cs="Tahoma"/>
          <w:b/>
          <w:bCs/>
          <w:kern w:val="0"/>
          <w:sz w:val="28"/>
          <w:szCs w:val="28"/>
        </w:rPr>
        <w:t>15份</w:t>
      </w:r>
      <w:r>
        <w:rPr>
          <w:rFonts w:hint="eastAsia" w:ascii="仿宋" w:hAnsi="仿宋" w:eastAsia="仿宋" w:cs="Tahoma"/>
          <w:kern w:val="0"/>
          <w:sz w:val="28"/>
          <w:szCs w:val="28"/>
        </w:rPr>
        <w:t>，包括朝阳辉电气与南阳贸易建筑，港丰城商贸与GNUYEN MINH THANG MTV ENGIMEMG TRADMG CO.LTD，吉方工控与铜塔食品等；采购项目涉及房地产建筑、新能源、光伏储能、工业自动化设备、新材料、智能家居、电子电器等领域。超过</w:t>
      </w:r>
      <w:r>
        <w:rPr>
          <w:rFonts w:hint="eastAsia" w:ascii="仿宋" w:hAnsi="仿宋" w:eastAsia="仿宋" w:cs="Tahoma"/>
          <w:b/>
          <w:bCs/>
          <w:kern w:val="0"/>
          <w:sz w:val="28"/>
          <w:szCs w:val="28"/>
        </w:rPr>
        <w:t>50%</w:t>
      </w:r>
      <w:r>
        <w:rPr>
          <w:rFonts w:hint="eastAsia" w:ascii="仿宋" w:hAnsi="仿宋" w:eastAsia="仿宋" w:cs="Tahoma"/>
          <w:kern w:val="0"/>
          <w:sz w:val="28"/>
          <w:szCs w:val="28"/>
        </w:rPr>
        <w:t>的展商表示开发到对口的商业资源，对企业未来在越南市场的拓展表示有信心，近三成到场观众表示希望通过展会寻找新的产品进行越南市场的销售代理，在现场接受随机采访中亦表示有找到意向的产品。</w:t>
      </w:r>
    </w:p>
    <w:p w14:paraId="35920E28">
      <w:pPr>
        <w:pStyle w:val="10"/>
        <w:numPr>
          <w:ilvl w:val="1"/>
          <w:numId w:val="1"/>
        </w:numPr>
        <w:ind w:firstLineChars="0"/>
        <w:rPr>
          <w:rFonts w:hint="eastAsia" w:ascii="仿宋" w:hAnsi="仿宋" w:eastAsia="仿宋" w:cs="Tahoma"/>
          <w:kern w:val="0"/>
          <w:sz w:val="28"/>
          <w:szCs w:val="28"/>
        </w:rPr>
      </w:pPr>
      <w:r>
        <w:rPr>
          <w:rFonts w:ascii="仿宋" w:hAnsi="仿宋" w:eastAsia="仿宋" w:cs="Tahoma"/>
          <w:kern w:val="0"/>
          <w:sz w:val="28"/>
          <w:szCs w:val="28"/>
        </w:rPr>
        <w:t>2024年，</w:t>
      </w:r>
      <w:r>
        <w:rPr>
          <w:rFonts w:hint="eastAsia" w:ascii="仿宋" w:hAnsi="仿宋" w:eastAsia="仿宋" w:cs="Tahoma"/>
          <w:kern w:val="0"/>
          <w:sz w:val="28"/>
          <w:szCs w:val="28"/>
        </w:rPr>
        <w:t>累计到场观众</w:t>
      </w:r>
      <w:r>
        <w:rPr>
          <w:rFonts w:hint="eastAsia" w:ascii="仿宋" w:hAnsi="仿宋" w:eastAsia="仿宋" w:cs="Tahoma"/>
          <w:b/>
          <w:kern w:val="0"/>
          <w:sz w:val="28"/>
          <w:szCs w:val="28"/>
        </w:rPr>
        <w:t>17,040人次</w:t>
      </w:r>
      <w:r>
        <w:rPr>
          <w:rFonts w:hint="eastAsia" w:ascii="仿宋" w:hAnsi="仿宋" w:eastAsia="仿宋" w:cs="Tahoma"/>
          <w:kern w:val="0"/>
          <w:sz w:val="28"/>
          <w:szCs w:val="28"/>
        </w:rPr>
        <w:t>，专业采购商比例超过</w:t>
      </w:r>
      <w:r>
        <w:rPr>
          <w:rFonts w:hint="eastAsia" w:ascii="仿宋" w:hAnsi="仿宋" w:eastAsia="仿宋" w:cs="Tahoma"/>
          <w:b/>
          <w:kern w:val="0"/>
          <w:sz w:val="28"/>
          <w:szCs w:val="28"/>
        </w:rPr>
        <w:t>70%</w:t>
      </w:r>
      <w:r>
        <w:rPr>
          <w:rFonts w:hint="eastAsia" w:ascii="仿宋" w:hAnsi="仿宋" w:eastAsia="仿宋" w:cs="Tahoma"/>
          <w:kern w:val="0"/>
          <w:sz w:val="28"/>
          <w:szCs w:val="28"/>
        </w:rPr>
        <w:t>，参展企业现场与三星集团、香港新华集团、Sunwah Innovations、Vietin Bank、BENTHANH AUTOMATION、3E机电、General Electric Vernova、NEWSKY等采购代表签订意向订单</w:t>
      </w:r>
      <w:r>
        <w:rPr>
          <w:rFonts w:hint="eastAsia" w:ascii="仿宋" w:hAnsi="仿宋" w:eastAsia="仿宋" w:cs="Tahoma"/>
          <w:b/>
          <w:kern w:val="0"/>
          <w:sz w:val="28"/>
          <w:szCs w:val="28"/>
        </w:rPr>
        <w:t>65</w:t>
      </w:r>
      <w:r>
        <w:rPr>
          <w:rFonts w:hint="eastAsia" w:ascii="仿宋" w:hAnsi="仿宋" w:eastAsia="仿宋" w:cs="Tahoma"/>
          <w:kern w:val="0"/>
          <w:sz w:val="28"/>
          <w:szCs w:val="28"/>
        </w:rPr>
        <w:t>份，项目涉及智慧园区、智慧用电系统、智慧教育系统采购、伺服机代理、元器件供应链合作、数码产品代理等。</w:t>
      </w:r>
    </w:p>
    <w:p w14:paraId="3F35F4AA">
      <w:pPr>
        <w:jc w:val="center"/>
        <w:rPr>
          <w:rFonts w:hint="eastAsia" w:ascii="仿宋" w:hAnsi="仿宋" w:eastAsia="仿宋" w:cs="Tahoma"/>
          <w:kern w:val="0"/>
          <w:sz w:val="28"/>
          <w:szCs w:val="28"/>
        </w:rPr>
      </w:pPr>
      <w:r>
        <w:drawing>
          <wp:inline distT="0" distB="0" distL="114300" distR="114300">
            <wp:extent cx="5266055" cy="1678305"/>
            <wp:effectExtent l="0" t="0" r="444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5266055" cy="1678305"/>
                    </a:xfrm>
                    <a:prstGeom prst="rect">
                      <a:avLst/>
                    </a:prstGeom>
                    <a:noFill/>
                    <a:ln>
                      <a:noFill/>
                    </a:ln>
                  </pic:spPr>
                </pic:pic>
              </a:graphicData>
            </a:graphic>
          </wp:inline>
        </w:drawing>
      </w:r>
    </w:p>
    <w:p w14:paraId="13F7F953">
      <w:pPr>
        <w:pStyle w:val="10"/>
        <w:numPr>
          <w:ilvl w:val="0"/>
          <w:numId w:val="1"/>
        </w:numPr>
        <w:spacing w:before="156" w:beforeLines="50"/>
        <w:ind w:firstLineChars="0"/>
        <w:rPr>
          <w:rFonts w:hint="eastAsia" w:ascii="黑体" w:hAnsi="黑体" w:eastAsia="黑体"/>
          <w:b/>
          <w:sz w:val="28"/>
          <w:szCs w:val="28"/>
        </w:rPr>
      </w:pPr>
      <w:r>
        <w:rPr>
          <w:rFonts w:ascii="黑体" w:hAnsi="黑体" w:eastAsia="黑体"/>
          <w:b/>
          <w:sz w:val="28"/>
          <w:szCs w:val="28"/>
        </w:rPr>
        <w:t>专业观众数据</w:t>
      </w:r>
    </w:p>
    <w:p w14:paraId="2B249748">
      <w:pPr>
        <w:pStyle w:val="10"/>
        <w:numPr>
          <w:ilvl w:val="1"/>
          <w:numId w:val="1"/>
        </w:numPr>
        <w:ind w:firstLineChars="0"/>
        <w:rPr>
          <w:rFonts w:hint="eastAsia" w:ascii="仿宋" w:hAnsi="仿宋" w:eastAsia="仿宋"/>
          <w:sz w:val="28"/>
          <w:szCs w:val="28"/>
        </w:rPr>
      </w:pPr>
      <w:r>
        <w:rPr>
          <w:rFonts w:ascii="仿宋" w:hAnsi="仿宋" w:eastAsia="仿宋"/>
          <w:sz w:val="28"/>
          <w:szCs w:val="28"/>
        </w:rPr>
        <w:t>意向采购金额：</w:t>
      </w:r>
    </w:p>
    <w:p w14:paraId="35CC6C7D">
      <w:pPr>
        <w:rPr>
          <w:rFonts w:hint="eastAsia" w:ascii="仿宋" w:hAnsi="仿宋" w:eastAsia="仿宋"/>
          <w:sz w:val="28"/>
          <w:szCs w:val="28"/>
        </w:rPr>
      </w:pPr>
      <w:r>
        <w:drawing>
          <wp:inline distT="0" distB="0" distL="114300" distR="114300">
            <wp:extent cx="4826000" cy="871855"/>
            <wp:effectExtent l="4445" t="4445" r="8255" b="38100"/>
            <wp:docPr id="24" name="图表 8" descr="7b0a202020202263686172745265734964223a2022323034373535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E6ACE40">
      <w:pPr>
        <w:pStyle w:val="10"/>
        <w:numPr>
          <w:ilvl w:val="1"/>
          <w:numId w:val="1"/>
        </w:numPr>
        <w:ind w:firstLineChars="0"/>
        <w:rPr>
          <w:rFonts w:hint="eastAsia" w:ascii="仿宋" w:hAnsi="仿宋" w:eastAsia="仿宋"/>
          <w:sz w:val="28"/>
          <w:szCs w:val="28"/>
        </w:rPr>
      </w:pPr>
      <w:r>
        <w:rPr>
          <w:rFonts w:ascii="仿宋" w:hAnsi="仿宋" w:eastAsia="仿宋"/>
          <w:sz w:val="28"/>
          <w:szCs w:val="28"/>
        </w:rPr>
        <w:t>专业观众业态类别：</w:t>
      </w:r>
    </w:p>
    <w:p w14:paraId="62775B18">
      <w:pPr>
        <w:rPr>
          <w:rFonts w:hint="eastAsia" w:ascii="仿宋" w:hAnsi="仿宋" w:eastAsia="仿宋"/>
          <w:sz w:val="28"/>
          <w:szCs w:val="28"/>
        </w:rPr>
      </w:pPr>
      <w:r>
        <w:drawing>
          <wp:inline distT="0" distB="0" distL="114300" distR="114300">
            <wp:extent cx="4826000" cy="2724785"/>
            <wp:effectExtent l="4445" t="4445" r="8255" b="39370"/>
            <wp:docPr id="23" name="图表 7" descr="7b0a202020202263686172745265734964223a2022323034373535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EE8CA6">
      <w:pPr>
        <w:pStyle w:val="10"/>
        <w:numPr>
          <w:ilvl w:val="1"/>
          <w:numId w:val="1"/>
        </w:numPr>
        <w:ind w:firstLineChars="0"/>
        <w:rPr>
          <w:rFonts w:hint="eastAsia" w:ascii="仿宋" w:hAnsi="仿宋" w:eastAsia="仿宋"/>
          <w:sz w:val="28"/>
          <w:szCs w:val="28"/>
        </w:rPr>
      </w:pPr>
      <w:r>
        <w:rPr>
          <w:rFonts w:hint="eastAsia" w:ascii="仿宋" w:hAnsi="仿宋" w:eastAsia="仿宋"/>
          <w:sz w:val="28"/>
          <w:szCs w:val="28"/>
        </w:rPr>
        <w:t>专业</w:t>
      </w:r>
      <w:r>
        <w:rPr>
          <w:rFonts w:ascii="仿宋" w:hAnsi="仿宋" w:eastAsia="仿宋"/>
          <w:sz w:val="28"/>
          <w:szCs w:val="28"/>
        </w:rPr>
        <w:t>观众感兴趣的展区：</w:t>
      </w:r>
    </w:p>
    <w:p w14:paraId="3596897B">
      <w:pPr>
        <w:rPr>
          <w:rFonts w:hint="eastAsia" w:ascii="仿宋" w:hAnsi="仿宋" w:eastAsia="仿宋"/>
          <w:sz w:val="28"/>
          <w:szCs w:val="28"/>
        </w:rPr>
      </w:pPr>
      <w:r>
        <w:drawing>
          <wp:inline distT="0" distB="0" distL="114300" distR="114300">
            <wp:extent cx="4826000" cy="1490345"/>
            <wp:effectExtent l="5080" t="4445" r="7620" b="41910"/>
            <wp:docPr id="22" name="图表 6" descr="7b0a202020202263686172745265734964223a2022323034373535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2510F8">
      <w:pPr>
        <w:pStyle w:val="10"/>
        <w:numPr>
          <w:ilvl w:val="1"/>
          <w:numId w:val="1"/>
        </w:numPr>
        <w:ind w:firstLineChars="0"/>
        <w:rPr>
          <w:rFonts w:hint="eastAsia" w:ascii="仿宋" w:hAnsi="仿宋" w:eastAsia="仿宋"/>
          <w:sz w:val="28"/>
          <w:szCs w:val="28"/>
        </w:rPr>
      </w:pPr>
      <w:r>
        <w:rPr>
          <w:rFonts w:ascii="仿宋" w:hAnsi="仿宋" w:eastAsia="仿宋"/>
          <w:sz w:val="28"/>
          <w:szCs w:val="28"/>
        </w:rPr>
        <w:t>观展目标：</w:t>
      </w:r>
    </w:p>
    <w:p w14:paraId="0808D968">
      <w:pPr>
        <w:rPr>
          <w:rFonts w:hint="eastAsia" w:ascii="仿宋" w:hAnsi="仿宋" w:eastAsia="仿宋"/>
          <w:sz w:val="28"/>
          <w:szCs w:val="28"/>
        </w:rPr>
      </w:pPr>
      <w:r>
        <w:drawing>
          <wp:inline distT="0" distB="0" distL="114300" distR="114300">
            <wp:extent cx="4826000" cy="1638300"/>
            <wp:effectExtent l="4445" t="4445" r="8255" b="46355"/>
            <wp:docPr id="25" name="图表 9" descr="7b0a202020202263686172745265734964223a2022323034373535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89200E">
      <w:pPr>
        <w:pStyle w:val="10"/>
        <w:numPr>
          <w:ilvl w:val="1"/>
          <w:numId w:val="1"/>
        </w:numPr>
        <w:ind w:firstLineChars="0"/>
        <w:rPr>
          <w:rFonts w:hint="eastAsia" w:ascii="仿宋" w:hAnsi="仿宋" w:eastAsia="仿宋"/>
          <w:sz w:val="28"/>
          <w:szCs w:val="28"/>
        </w:rPr>
      </w:pPr>
      <w:r>
        <w:rPr>
          <w:rFonts w:ascii="仿宋" w:hAnsi="仿宋" w:eastAsia="仿宋"/>
          <w:sz w:val="28"/>
          <w:szCs w:val="28"/>
        </w:rPr>
        <w:t>满意度调查：</w:t>
      </w:r>
    </w:p>
    <w:p w14:paraId="659F988B">
      <w:pPr>
        <w:rPr>
          <w:rFonts w:hint="eastAsia" w:ascii="仿宋" w:hAnsi="仿宋" w:eastAsia="仿宋"/>
          <w:sz w:val="28"/>
          <w:szCs w:val="28"/>
        </w:rPr>
      </w:pPr>
      <w:r>
        <w:drawing>
          <wp:inline distT="0" distB="0" distL="114300" distR="114300">
            <wp:extent cx="4851400" cy="927100"/>
            <wp:effectExtent l="4445" t="4445" r="8255" b="8255"/>
            <wp:docPr id="13"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ABF612">
      <w:pPr>
        <w:pStyle w:val="10"/>
        <w:numPr>
          <w:ilvl w:val="1"/>
          <w:numId w:val="1"/>
        </w:numPr>
        <w:ind w:firstLineChars="0"/>
        <w:rPr>
          <w:rFonts w:hint="eastAsia" w:ascii="仿宋" w:hAnsi="仿宋" w:eastAsia="仿宋"/>
          <w:sz w:val="28"/>
          <w:szCs w:val="28"/>
        </w:rPr>
      </w:pPr>
      <w:r>
        <w:rPr>
          <w:rFonts w:ascii="仿宋" w:hAnsi="仿宋" w:eastAsia="仿宋"/>
          <w:sz w:val="28"/>
          <w:szCs w:val="28"/>
        </w:rPr>
        <w:t>专业采购团：</w:t>
      </w:r>
    </w:p>
    <w:tbl>
      <w:tblPr>
        <w:tblStyle w:val="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4111"/>
      </w:tblGrid>
      <w:tr w14:paraId="6E44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4" w:hRule="atLeast"/>
        </w:trPr>
        <w:tc>
          <w:tcPr>
            <w:tcW w:w="4248" w:type="dxa"/>
          </w:tcPr>
          <w:p w14:paraId="7E0BE7C1">
            <w:pPr>
              <w:rPr>
                <w:rFonts w:hint="eastAsia" w:ascii="仿宋" w:hAnsi="仿宋" w:eastAsia="仿宋"/>
                <w:b/>
                <w:szCs w:val="21"/>
              </w:rPr>
            </w:pPr>
            <w:r>
              <w:rPr>
                <w:rFonts w:ascii="仿宋" w:hAnsi="仿宋" w:eastAsia="仿宋"/>
                <w:b/>
                <w:szCs w:val="21"/>
              </w:rPr>
              <w:t>三星集团</w:t>
            </w:r>
          </w:p>
          <w:p w14:paraId="29C6C170">
            <w:pPr>
              <w:rPr>
                <w:rFonts w:hint="eastAsia" w:ascii="仿宋" w:hAnsi="仿宋" w:eastAsia="仿宋"/>
                <w:szCs w:val="21"/>
              </w:rPr>
            </w:pPr>
            <w:r>
              <w:rPr>
                <w:rFonts w:hint="eastAsia" w:ascii="仿宋" w:hAnsi="仿宋" w:eastAsia="仿宋"/>
                <w:szCs w:val="21"/>
              </w:rPr>
              <w:t>寻在越南有工厂或者有建厂计划的供应商，供应小型电子设备的零配件或半成品</w:t>
            </w:r>
          </w:p>
        </w:tc>
        <w:tc>
          <w:tcPr>
            <w:tcW w:w="4111" w:type="dxa"/>
          </w:tcPr>
          <w:p w14:paraId="48F7B5EF">
            <w:pPr>
              <w:rPr>
                <w:rFonts w:hint="eastAsia" w:ascii="仿宋" w:hAnsi="仿宋" w:eastAsia="仿宋"/>
                <w:b/>
                <w:szCs w:val="21"/>
              </w:rPr>
            </w:pPr>
            <w:r>
              <w:rPr>
                <w:rFonts w:hint="eastAsia" w:ascii="仿宋" w:hAnsi="仿宋" w:eastAsia="仿宋"/>
                <w:b/>
                <w:szCs w:val="21"/>
              </w:rPr>
              <w:t>越捷航空采购团</w:t>
            </w:r>
          </w:p>
          <w:p w14:paraId="620B8044">
            <w:pPr>
              <w:rPr>
                <w:rFonts w:hint="eastAsia" w:ascii="仿宋" w:hAnsi="仿宋" w:eastAsia="仿宋"/>
                <w:szCs w:val="21"/>
              </w:rPr>
            </w:pPr>
            <w:r>
              <w:rPr>
                <w:rFonts w:ascii="仿宋" w:hAnsi="仿宋" w:eastAsia="仿宋"/>
                <w:szCs w:val="21"/>
              </w:rPr>
              <w:t>商显、智能屏、户外广告硬件集成</w:t>
            </w:r>
          </w:p>
        </w:tc>
      </w:tr>
      <w:tr w14:paraId="250C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248" w:type="dxa"/>
          </w:tcPr>
          <w:p w14:paraId="5AC25748">
            <w:pPr>
              <w:rPr>
                <w:rFonts w:hint="eastAsia" w:ascii="仿宋" w:hAnsi="仿宋" w:eastAsia="仿宋"/>
                <w:b/>
                <w:szCs w:val="21"/>
              </w:rPr>
            </w:pPr>
            <w:r>
              <w:rPr>
                <w:rFonts w:ascii="仿宋" w:hAnsi="仿宋" w:eastAsia="仿宋"/>
                <w:b/>
                <w:szCs w:val="21"/>
              </w:rPr>
              <w:t>FPT集团（越南最大通讯集团）</w:t>
            </w:r>
          </w:p>
          <w:p w14:paraId="6C9B4DAE">
            <w:pPr>
              <w:rPr>
                <w:rFonts w:hint="eastAsia" w:ascii="仿宋" w:hAnsi="仿宋" w:eastAsia="仿宋"/>
                <w:szCs w:val="21"/>
              </w:rPr>
            </w:pPr>
            <w:r>
              <w:rPr>
                <w:rFonts w:hint="eastAsia" w:ascii="仿宋" w:hAnsi="仿宋" w:eastAsia="仿宋"/>
                <w:szCs w:val="21"/>
              </w:rPr>
              <w:t>电子产品、消费类电子产品、控制系统采购</w:t>
            </w:r>
          </w:p>
        </w:tc>
        <w:tc>
          <w:tcPr>
            <w:tcW w:w="4111" w:type="dxa"/>
          </w:tcPr>
          <w:p w14:paraId="1CFFF4F7">
            <w:pPr>
              <w:rPr>
                <w:rFonts w:hint="eastAsia" w:ascii="仿宋" w:hAnsi="仿宋" w:eastAsia="仿宋"/>
                <w:b/>
                <w:szCs w:val="21"/>
              </w:rPr>
            </w:pPr>
            <w:r>
              <w:rPr>
                <w:rFonts w:hint="eastAsia" w:ascii="仿宋" w:hAnsi="仿宋" w:eastAsia="仿宋"/>
                <w:b/>
                <w:szCs w:val="21"/>
              </w:rPr>
              <w:t>富龙地产采购团</w:t>
            </w:r>
          </w:p>
          <w:p w14:paraId="226558D0">
            <w:pPr>
              <w:rPr>
                <w:rFonts w:hint="eastAsia" w:ascii="仿宋" w:hAnsi="仿宋" w:eastAsia="仿宋"/>
                <w:szCs w:val="21"/>
              </w:rPr>
            </w:pPr>
            <w:r>
              <w:rPr>
                <w:rFonts w:hint="eastAsia" w:ascii="仿宋" w:hAnsi="仿宋" w:eastAsia="仿宋"/>
                <w:szCs w:val="21"/>
              </w:rPr>
              <w:t>电子礼品、智能家居的产品代理或分销</w:t>
            </w:r>
          </w:p>
        </w:tc>
      </w:tr>
      <w:tr w14:paraId="1DC7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248" w:type="dxa"/>
          </w:tcPr>
          <w:p w14:paraId="787D0DFC">
            <w:pPr>
              <w:rPr>
                <w:rFonts w:ascii="Arial" w:hAnsi="Arial" w:eastAsia="仿宋" w:cs="Arial"/>
                <w:b/>
                <w:szCs w:val="21"/>
              </w:rPr>
            </w:pPr>
            <w:r>
              <w:rPr>
                <w:rFonts w:ascii="Arial" w:hAnsi="Arial" w:eastAsia="仿宋" w:cs="Arial"/>
                <w:b/>
                <w:szCs w:val="21"/>
              </w:rPr>
              <w:t>Công ty Cổ Phần Giải Pháp CN Tầm Cao</w:t>
            </w:r>
          </w:p>
          <w:p w14:paraId="708E6525">
            <w:pPr>
              <w:rPr>
                <w:rFonts w:hint="eastAsia" w:ascii="仿宋" w:hAnsi="仿宋" w:eastAsia="仿宋"/>
                <w:szCs w:val="21"/>
              </w:rPr>
            </w:pPr>
            <w:r>
              <w:rPr>
                <w:rFonts w:hint="eastAsia" w:ascii="仿宋" w:hAnsi="仿宋" w:eastAsia="仿宋"/>
                <w:szCs w:val="21"/>
              </w:rPr>
              <w:t>寻电脑、相机相关的零配件供应商</w:t>
            </w:r>
          </w:p>
        </w:tc>
        <w:tc>
          <w:tcPr>
            <w:tcW w:w="4111" w:type="dxa"/>
          </w:tcPr>
          <w:p w14:paraId="21CB2C29">
            <w:pPr>
              <w:rPr>
                <w:rFonts w:hint="eastAsia" w:ascii="仿宋" w:hAnsi="仿宋" w:eastAsia="仿宋"/>
                <w:b/>
                <w:szCs w:val="21"/>
              </w:rPr>
            </w:pPr>
            <w:r>
              <w:rPr>
                <w:rFonts w:ascii="仿宋" w:hAnsi="仿宋" w:eastAsia="仿宋"/>
                <w:b/>
                <w:szCs w:val="21"/>
              </w:rPr>
              <w:t>Tan Thien Production Trading Service Co., Ltd</w:t>
            </w:r>
          </w:p>
          <w:p w14:paraId="0A69F425">
            <w:pPr>
              <w:rPr>
                <w:rFonts w:hint="eastAsia" w:ascii="仿宋" w:hAnsi="仿宋" w:eastAsia="仿宋"/>
                <w:szCs w:val="21"/>
              </w:rPr>
            </w:pPr>
            <w:r>
              <w:rPr>
                <w:rFonts w:hint="eastAsia" w:ascii="仿宋" w:hAnsi="仿宋" w:eastAsia="仿宋"/>
                <w:szCs w:val="21"/>
              </w:rPr>
              <w:t>代理和分销自动化设备和相关零配件</w:t>
            </w:r>
          </w:p>
        </w:tc>
      </w:tr>
      <w:tr w14:paraId="106F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248" w:type="dxa"/>
          </w:tcPr>
          <w:p w14:paraId="1736D01C">
            <w:pPr>
              <w:rPr>
                <w:rFonts w:hint="eastAsia" w:ascii="仿宋" w:hAnsi="仿宋" w:eastAsia="仿宋"/>
                <w:b/>
                <w:szCs w:val="21"/>
              </w:rPr>
            </w:pPr>
            <w:r>
              <w:rPr>
                <w:rFonts w:ascii="仿宋" w:hAnsi="仿宋" w:eastAsia="仿宋"/>
                <w:b/>
                <w:szCs w:val="21"/>
              </w:rPr>
              <w:t>3S Software Co., Ltd.</w:t>
            </w:r>
          </w:p>
          <w:p w14:paraId="2CDA6F6E">
            <w:pPr>
              <w:rPr>
                <w:rFonts w:hint="eastAsia" w:ascii="仿宋" w:hAnsi="仿宋" w:eastAsia="仿宋"/>
                <w:szCs w:val="21"/>
              </w:rPr>
            </w:pPr>
            <w:r>
              <w:rPr>
                <w:rFonts w:hint="eastAsia" w:ascii="仿宋" w:hAnsi="仿宋" w:eastAsia="仿宋"/>
                <w:szCs w:val="21"/>
              </w:rPr>
              <w:t>代理和分销自动化设备和相关零配件</w:t>
            </w:r>
          </w:p>
        </w:tc>
        <w:tc>
          <w:tcPr>
            <w:tcW w:w="4111" w:type="dxa"/>
          </w:tcPr>
          <w:p w14:paraId="52F19DB6">
            <w:pPr>
              <w:rPr>
                <w:rFonts w:hint="eastAsia" w:ascii="仿宋" w:hAnsi="仿宋" w:eastAsia="仿宋"/>
                <w:b/>
                <w:szCs w:val="21"/>
              </w:rPr>
            </w:pPr>
            <w:r>
              <w:rPr>
                <w:rFonts w:hint="eastAsia" w:ascii="仿宋" w:hAnsi="仿宋" w:eastAsia="仿宋"/>
                <w:b/>
                <w:szCs w:val="21"/>
              </w:rPr>
              <w:t>香港新华集团</w:t>
            </w:r>
          </w:p>
          <w:p w14:paraId="1A3C254A">
            <w:pPr>
              <w:rPr>
                <w:rFonts w:hint="eastAsia" w:ascii="仿宋" w:hAnsi="仿宋" w:eastAsia="仿宋"/>
                <w:szCs w:val="21"/>
              </w:rPr>
            </w:pPr>
            <w:r>
              <w:rPr>
                <w:rFonts w:ascii="仿宋" w:hAnsi="仿宋" w:eastAsia="仿宋"/>
                <w:szCs w:val="21"/>
              </w:rPr>
              <w:t>智能产品、新款消费电子产品采购</w:t>
            </w:r>
          </w:p>
        </w:tc>
      </w:tr>
      <w:tr w14:paraId="1150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4248" w:type="dxa"/>
          </w:tcPr>
          <w:p w14:paraId="159E5199">
            <w:pPr>
              <w:rPr>
                <w:rFonts w:hint="eastAsia" w:ascii="仿宋" w:hAnsi="仿宋" w:eastAsia="仿宋"/>
                <w:b/>
                <w:szCs w:val="21"/>
              </w:rPr>
            </w:pPr>
            <w:r>
              <w:rPr>
                <w:rFonts w:ascii="仿宋" w:hAnsi="仿宋" w:eastAsia="仿宋"/>
                <w:b/>
                <w:szCs w:val="21"/>
              </w:rPr>
              <w:t xml:space="preserve">VietGoal - </w:t>
            </w:r>
            <w:r>
              <w:rPr>
                <w:rFonts w:ascii="Arial" w:hAnsi="Arial" w:eastAsia="仿宋" w:cs="Arial"/>
                <w:b/>
                <w:szCs w:val="21"/>
              </w:rPr>
              <w:t xml:space="preserve">Trung tâm Bóng đá Trẻ em </w:t>
            </w:r>
            <w:r>
              <w:rPr>
                <w:rFonts w:ascii="仿宋" w:hAnsi="仿宋" w:eastAsia="仿宋"/>
                <w:b/>
                <w:szCs w:val="21"/>
              </w:rPr>
              <w:t xml:space="preserve"> </w:t>
            </w:r>
            <w:r>
              <w:rPr>
                <w:rFonts w:hint="eastAsia" w:ascii="仿宋" w:hAnsi="仿宋" w:eastAsia="仿宋"/>
                <w:b/>
                <w:szCs w:val="21"/>
              </w:rPr>
              <w:t>儿童足球中心</w:t>
            </w:r>
          </w:p>
          <w:p w14:paraId="75AD1672">
            <w:pPr>
              <w:rPr>
                <w:rFonts w:hint="eastAsia" w:ascii="仿宋" w:hAnsi="仿宋" w:eastAsia="仿宋"/>
                <w:szCs w:val="21"/>
              </w:rPr>
            </w:pPr>
            <w:r>
              <w:rPr>
                <w:rFonts w:hint="eastAsia" w:ascii="仿宋" w:hAnsi="仿宋" w:eastAsia="仿宋"/>
                <w:szCs w:val="21"/>
              </w:rPr>
              <w:t>有 GPS 跟踪器功能的穿戴设备，测量运动量</w:t>
            </w:r>
          </w:p>
        </w:tc>
        <w:tc>
          <w:tcPr>
            <w:tcW w:w="4111" w:type="dxa"/>
          </w:tcPr>
          <w:p w14:paraId="0C4318A4">
            <w:pPr>
              <w:rPr>
                <w:rFonts w:hint="eastAsia" w:ascii="仿宋" w:hAnsi="仿宋" w:eastAsia="仿宋"/>
                <w:b/>
                <w:szCs w:val="21"/>
              </w:rPr>
            </w:pPr>
            <w:r>
              <w:rPr>
                <w:rFonts w:ascii="仿宋" w:hAnsi="仿宋" w:eastAsia="仿宋"/>
                <w:b/>
                <w:szCs w:val="21"/>
              </w:rPr>
              <w:t>Evipcare</w:t>
            </w:r>
          </w:p>
          <w:p w14:paraId="0514FD8F">
            <w:pPr>
              <w:rPr>
                <w:rFonts w:hint="eastAsia" w:ascii="仿宋" w:hAnsi="仿宋" w:eastAsia="仿宋"/>
                <w:szCs w:val="21"/>
              </w:rPr>
            </w:pPr>
            <w:r>
              <w:rPr>
                <w:rFonts w:hint="eastAsia" w:ascii="仿宋" w:hAnsi="仿宋" w:eastAsia="仿宋"/>
                <w:szCs w:val="21"/>
              </w:rPr>
              <w:t>寻A</w:t>
            </w:r>
            <w:r>
              <w:rPr>
                <w:rFonts w:ascii="仿宋" w:hAnsi="仿宋" w:eastAsia="仿宋"/>
                <w:szCs w:val="21"/>
              </w:rPr>
              <w:t>I</w:t>
            </w:r>
            <w:r>
              <w:rPr>
                <w:rFonts w:hint="eastAsia" w:ascii="仿宋" w:hAnsi="仿宋" w:eastAsia="仿宋"/>
                <w:szCs w:val="21"/>
              </w:rPr>
              <w:t>直播、A</w:t>
            </w:r>
            <w:r>
              <w:rPr>
                <w:rFonts w:ascii="仿宋" w:hAnsi="仿宋" w:eastAsia="仿宋"/>
                <w:szCs w:val="21"/>
              </w:rPr>
              <w:t>I</w:t>
            </w:r>
            <w:r>
              <w:rPr>
                <w:rFonts w:hint="eastAsia" w:ascii="仿宋" w:hAnsi="仿宋" w:eastAsia="仿宋"/>
                <w:szCs w:val="21"/>
              </w:rPr>
              <w:t>销售解决方案供应商</w:t>
            </w:r>
          </w:p>
        </w:tc>
      </w:tr>
      <w:tr w14:paraId="46C5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248" w:type="dxa"/>
          </w:tcPr>
          <w:p w14:paraId="478FDF0D">
            <w:pPr>
              <w:rPr>
                <w:rFonts w:hint="eastAsia" w:ascii="仿宋" w:hAnsi="仿宋" w:eastAsia="仿宋"/>
                <w:b/>
                <w:szCs w:val="21"/>
              </w:rPr>
            </w:pPr>
            <w:r>
              <w:rPr>
                <w:rFonts w:ascii="仿宋" w:hAnsi="仿宋" w:eastAsia="仿宋"/>
                <w:b/>
                <w:szCs w:val="21"/>
              </w:rPr>
              <w:t>越南战略与生产管理俱乐部</w:t>
            </w:r>
          </w:p>
          <w:p w14:paraId="756CE2D1">
            <w:pPr>
              <w:rPr>
                <w:rFonts w:hint="eastAsia" w:ascii="仿宋" w:hAnsi="仿宋" w:eastAsia="仿宋"/>
                <w:szCs w:val="21"/>
              </w:rPr>
            </w:pPr>
            <w:r>
              <w:rPr>
                <w:rFonts w:hint="eastAsia" w:ascii="仿宋" w:hAnsi="仿宋" w:eastAsia="仿宋"/>
                <w:szCs w:val="21"/>
              </w:rPr>
              <w:t>照明、智能家居、电子类消费品采购</w:t>
            </w:r>
          </w:p>
        </w:tc>
        <w:tc>
          <w:tcPr>
            <w:tcW w:w="4111" w:type="dxa"/>
          </w:tcPr>
          <w:p w14:paraId="6D4657BF">
            <w:pPr>
              <w:rPr>
                <w:rFonts w:hint="eastAsia" w:ascii="仿宋" w:hAnsi="仿宋" w:eastAsia="仿宋"/>
                <w:b/>
                <w:szCs w:val="21"/>
              </w:rPr>
            </w:pPr>
            <w:r>
              <w:rPr>
                <w:rFonts w:ascii="仿宋" w:hAnsi="仿宋" w:eastAsia="仿宋"/>
                <w:b/>
                <w:szCs w:val="21"/>
              </w:rPr>
              <w:t>福清建筑工程团</w:t>
            </w:r>
          </w:p>
          <w:p w14:paraId="3EA122E9">
            <w:pPr>
              <w:rPr>
                <w:rFonts w:hint="eastAsia" w:ascii="仿宋" w:hAnsi="仿宋" w:eastAsia="仿宋"/>
                <w:szCs w:val="21"/>
              </w:rPr>
            </w:pPr>
            <w:r>
              <w:rPr>
                <w:rFonts w:hint="eastAsia" w:ascii="仿宋" w:hAnsi="仿宋" w:eastAsia="仿宋"/>
                <w:szCs w:val="21"/>
              </w:rPr>
              <w:t>智能家居、灯具；生产制造类智能装备采购</w:t>
            </w:r>
          </w:p>
        </w:tc>
      </w:tr>
      <w:tr w14:paraId="6868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156E32DB">
            <w:pPr>
              <w:rPr>
                <w:rFonts w:hint="eastAsia" w:ascii="仿宋" w:hAnsi="仿宋" w:eastAsia="仿宋"/>
                <w:b/>
                <w:szCs w:val="21"/>
              </w:rPr>
            </w:pPr>
            <w:r>
              <w:rPr>
                <w:rFonts w:ascii="仿宋" w:hAnsi="仿宋" w:eastAsia="仿宋"/>
                <w:b/>
                <w:szCs w:val="21"/>
              </w:rPr>
              <w:t>安江省科学技术厅</w:t>
            </w:r>
          </w:p>
          <w:p w14:paraId="3FA1C25E">
            <w:pPr>
              <w:rPr>
                <w:rFonts w:hint="eastAsia" w:ascii="仿宋" w:hAnsi="仿宋" w:eastAsia="仿宋"/>
                <w:b/>
                <w:szCs w:val="21"/>
              </w:rPr>
            </w:pPr>
            <w:r>
              <w:rPr>
                <w:rFonts w:hint="eastAsia" w:ascii="仿宋" w:hAnsi="仿宋" w:eastAsia="仿宋"/>
                <w:szCs w:val="21"/>
              </w:rPr>
              <w:t>智能控制技术和设备采购</w:t>
            </w:r>
          </w:p>
        </w:tc>
        <w:tc>
          <w:tcPr>
            <w:tcW w:w="4111" w:type="dxa"/>
          </w:tcPr>
          <w:p w14:paraId="3BAA5C93">
            <w:pPr>
              <w:rPr>
                <w:rFonts w:hint="eastAsia" w:ascii="仿宋" w:hAnsi="仿宋" w:eastAsia="仿宋"/>
                <w:b/>
                <w:szCs w:val="21"/>
              </w:rPr>
            </w:pPr>
            <w:r>
              <w:rPr>
                <w:rFonts w:ascii="仿宋" w:hAnsi="仿宋" w:eastAsia="仿宋"/>
                <w:b/>
                <w:szCs w:val="21"/>
              </w:rPr>
              <w:t>安江省州城县经济和设施基础厅</w:t>
            </w:r>
          </w:p>
          <w:p w14:paraId="11AE57BC">
            <w:pPr>
              <w:rPr>
                <w:rFonts w:hint="eastAsia" w:ascii="仿宋" w:hAnsi="仿宋" w:eastAsia="仿宋"/>
                <w:szCs w:val="21"/>
              </w:rPr>
            </w:pPr>
            <w:r>
              <w:rPr>
                <w:rFonts w:hint="eastAsia" w:ascii="仿宋" w:hAnsi="仿宋" w:eastAsia="仿宋"/>
                <w:szCs w:val="21"/>
              </w:rPr>
              <w:t>生产制造类设备、工业信息类系统采购</w:t>
            </w:r>
          </w:p>
        </w:tc>
      </w:tr>
      <w:tr w14:paraId="5D2A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0C79E140">
            <w:pPr>
              <w:rPr>
                <w:rFonts w:hint="eastAsia" w:ascii="仿宋" w:hAnsi="仿宋" w:eastAsia="仿宋"/>
                <w:b/>
                <w:szCs w:val="21"/>
              </w:rPr>
            </w:pPr>
            <w:r>
              <w:rPr>
                <w:rFonts w:ascii="仿宋" w:hAnsi="仿宋" w:eastAsia="仿宋"/>
                <w:b/>
                <w:szCs w:val="21"/>
              </w:rPr>
              <w:t>胡志明市自动化协会</w:t>
            </w:r>
          </w:p>
          <w:p w14:paraId="3AC30A33">
            <w:pPr>
              <w:rPr>
                <w:rFonts w:hint="eastAsia" w:ascii="仿宋" w:hAnsi="仿宋" w:eastAsia="仿宋"/>
                <w:szCs w:val="21"/>
              </w:rPr>
            </w:pPr>
            <w:r>
              <w:rPr>
                <w:rFonts w:hint="eastAsia" w:ascii="仿宋" w:hAnsi="仿宋" w:eastAsia="仿宋"/>
                <w:szCs w:val="21"/>
              </w:rPr>
              <w:t>自动化设备、电子元器件采购</w:t>
            </w:r>
          </w:p>
        </w:tc>
        <w:tc>
          <w:tcPr>
            <w:tcW w:w="4111" w:type="dxa"/>
          </w:tcPr>
          <w:p w14:paraId="676B17F9">
            <w:pPr>
              <w:rPr>
                <w:rFonts w:hint="eastAsia" w:ascii="仿宋" w:hAnsi="仿宋" w:eastAsia="仿宋"/>
                <w:b/>
                <w:szCs w:val="21"/>
              </w:rPr>
            </w:pPr>
            <w:r>
              <w:rPr>
                <w:rFonts w:ascii="仿宋" w:hAnsi="仿宋" w:eastAsia="仿宋"/>
                <w:b/>
                <w:szCs w:val="21"/>
              </w:rPr>
              <w:t>Lazada官方</w:t>
            </w:r>
          </w:p>
          <w:p w14:paraId="1283964F">
            <w:pPr>
              <w:rPr>
                <w:rFonts w:hint="eastAsia" w:ascii="仿宋" w:hAnsi="仿宋" w:eastAsia="仿宋"/>
                <w:szCs w:val="21"/>
              </w:rPr>
            </w:pPr>
            <w:r>
              <w:rPr>
                <w:rFonts w:ascii="仿宋" w:hAnsi="仿宋" w:eastAsia="仿宋"/>
                <w:szCs w:val="21"/>
              </w:rPr>
              <w:t>电商供应链选品</w:t>
            </w:r>
          </w:p>
        </w:tc>
      </w:tr>
    </w:tbl>
    <w:p w14:paraId="30A536BA">
      <w:pPr>
        <w:pStyle w:val="10"/>
        <w:ind w:left="420" w:firstLine="0" w:firstLineChars="0"/>
        <w:rPr>
          <w:rFonts w:hint="eastAsia" w:ascii="仿宋" w:hAnsi="仿宋" w:eastAsia="仿宋"/>
          <w:sz w:val="28"/>
          <w:szCs w:val="28"/>
        </w:rPr>
      </w:pPr>
    </w:p>
    <w:p w14:paraId="4D31541D">
      <w:pPr>
        <w:pStyle w:val="10"/>
        <w:numPr>
          <w:ilvl w:val="1"/>
          <w:numId w:val="1"/>
        </w:numPr>
        <w:ind w:firstLineChars="0"/>
        <w:rPr>
          <w:rFonts w:hint="eastAsia" w:ascii="仿宋" w:hAnsi="仿宋" w:eastAsia="仿宋"/>
          <w:sz w:val="28"/>
          <w:szCs w:val="28"/>
        </w:rPr>
      </w:pPr>
      <w:r>
        <w:rPr>
          <w:rFonts w:ascii="仿宋" w:hAnsi="仿宋" w:eastAsia="仿宋"/>
          <w:sz w:val="28"/>
          <w:szCs w:val="28"/>
        </w:rPr>
        <w:t>专业观众开发渠道：线上线下联动，全媒体推广，精准邀约</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891"/>
      </w:tblGrid>
      <w:tr w14:paraId="2F57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Pr>
          <w:p w14:paraId="7874AE81">
            <w:pPr>
              <w:jc w:val="center"/>
              <w:rPr>
                <w:rFonts w:hint="eastAsia" w:ascii="仿宋" w:hAnsi="仿宋" w:eastAsia="仿宋"/>
                <w:b/>
                <w:sz w:val="24"/>
                <w:szCs w:val="24"/>
              </w:rPr>
            </w:pPr>
            <w:r>
              <w:rPr>
                <w:rFonts w:hint="eastAsia" w:ascii="仿宋" w:hAnsi="仿宋" w:eastAsia="仿宋"/>
                <w:b/>
                <w:sz w:val="24"/>
                <w:szCs w:val="24"/>
              </w:rPr>
              <w:t>线上</w:t>
            </w:r>
          </w:p>
        </w:tc>
      </w:tr>
      <w:tr w14:paraId="4EC3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2405" w:type="dxa"/>
          </w:tcPr>
          <w:p w14:paraId="4ADB2FCE">
            <w:pPr>
              <w:rPr>
                <w:rFonts w:hint="eastAsia" w:ascii="仿宋" w:hAnsi="仿宋" w:eastAsia="仿宋"/>
                <w:b/>
                <w:szCs w:val="21"/>
              </w:rPr>
            </w:pPr>
          </w:p>
          <w:p w14:paraId="55C5C60E">
            <w:pPr>
              <w:rPr>
                <w:rFonts w:hint="eastAsia" w:ascii="仿宋" w:hAnsi="仿宋" w:eastAsia="仿宋"/>
                <w:b/>
                <w:szCs w:val="21"/>
              </w:rPr>
            </w:pPr>
          </w:p>
          <w:p w14:paraId="1F4BE739">
            <w:pPr>
              <w:rPr>
                <w:rFonts w:hint="eastAsia" w:ascii="仿宋" w:hAnsi="仿宋" w:eastAsia="仿宋"/>
                <w:b/>
                <w:szCs w:val="21"/>
              </w:rPr>
            </w:pPr>
            <w:r>
              <w:rPr>
                <w:rFonts w:ascii="仿宋" w:hAnsi="仿宋" w:eastAsia="仿宋"/>
                <w:b/>
                <w:szCs w:val="21"/>
              </w:rPr>
              <w:t>官网及</w:t>
            </w:r>
            <w:r>
              <w:rPr>
                <w:rFonts w:hint="eastAsia" w:ascii="仿宋" w:hAnsi="仿宋" w:eastAsia="仿宋"/>
                <w:b/>
                <w:szCs w:val="21"/>
              </w:rPr>
              <w:t>E</w:t>
            </w:r>
            <w:r>
              <w:rPr>
                <w:rFonts w:ascii="仿宋" w:hAnsi="仿宋" w:eastAsia="仿宋"/>
                <w:b/>
                <w:szCs w:val="21"/>
              </w:rPr>
              <w:t>DM营销</w:t>
            </w:r>
          </w:p>
        </w:tc>
        <w:tc>
          <w:tcPr>
            <w:tcW w:w="5891" w:type="dxa"/>
          </w:tcPr>
          <w:p w14:paraId="3DF22AE8">
            <w:pPr>
              <w:pStyle w:val="10"/>
              <w:numPr>
                <w:ilvl w:val="0"/>
                <w:numId w:val="3"/>
              </w:numPr>
              <w:ind w:firstLineChars="0"/>
              <w:rPr>
                <w:rFonts w:hint="eastAsia" w:ascii="仿宋" w:hAnsi="仿宋" w:eastAsia="仿宋"/>
                <w:szCs w:val="21"/>
              </w:rPr>
            </w:pPr>
            <w:r>
              <w:rPr>
                <w:rFonts w:ascii="仿宋" w:hAnsi="仿宋" w:eastAsia="仿宋"/>
                <w:b/>
                <w:szCs w:val="21"/>
              </w:rPr>
              <w:t>注册用户超过</w:t>
            </w:r>
            <w:r>
              <w:rPr>
                <w:rFonts w:hint="eastAsia" w:ascii="仿宋" w:hAnsi="仿宋" w:eastAsia="仿宋"/>
                <w:b/>
                <w:szCs w:val="21"/>
              </w:rPr>
              <w:t>1万人</w:t>
            </w:r>
            <w:r>
              <w:rPr>
                <w:rFonts w:hint="eastAsia" w:ascii="仿宋" w:hAnsi="仿宋" w:eastAsia="仿宋"/>
                <w:szCs w:val="21"/>
              </w:rPr>
              <w:t>：</w:t>
            </w:r>
            <w:r>
              <w:rPr>
                <w:rFonts w:ascii="仿宋" w:hAnsi="仿宋" w:eastAsia="仿宋"/>
                <w:szCs w:val="21"/>
              </w:rPr>
              <w:t>多语言官网</w:t>
            </w:r>
            <w:r>
              <w:rPr>
                <w:rFonts w:hint="eastAsia" w:ascii="仿宋" w:hAnsi="仿宋" w:eastAsia="仿宋"/>
                <w:szCs w:val="21"/>
              </w:rPr>
              <w:t>展示</w:t>
            </w:r>
            <w:r>
              <w:rPr>
                <w:rFonts w:ascii="仿宋" w:hAnsi="仿宋" w:eastAsia="仿宋"/>
                <w:szCs w:val="21"/>
              </w:rPr>
              <w:t>丰富的展会信息，通过</w:t>
            </w:r>
            <w:r>
              <w:rPr>
                <w:rFonts w:hint="eastAsia" w:ascii="仿宋" w:hAnsi="仿宋" w:eastAsia="仿宋"/>
                <w:szCs w:val="21"/>
              </w:rPr>
              <w:t>S</w:t>
            </w:r>
            <w:r>
              <w:rPr>
                <w:rFonts w:ascii="仿宋" w:hAnsi="仿宋" w:eastAsia="仿宋"/>
                <w:szCs w:val="21"/>
              </w:rPr>
              <w:t>EO和搜索引擎广告投放，吸引越南观众报名。</w:t>
            </w:r>
          </w:p>
          <w:p w14:paraId="0E64DEC6">
            <w:pPr>
              <w:pStyle w:val="10"/>
              <w:numPr>
                <w:ilvl w:val="0"/>
                <w:numId w:val="3"/>
              </w:numPr>
              <w:ind w:firstLineChars="0"/>
              <w:rPr>
                <w:rFonts w:hint="eastAsia" w:ascii="仿宋" w:hAnsi="仿宋" w:eastAsia="仿宋"/>
                <w:szCs w:val="21"/>
              </w:rPr>
            </w:pPr>
            <w:r>
              <w:rPr>
                <w:rFonts w:hint="eastAsia" w:ascii="仿宋" w:hAnsi="仿宋" w:eastAsia="仿宋"/>
                <w:b/>
                <w:szCs w:val="21"/>
              </w:rPr>
              <w:t>1</w:t>
            </w:r>
            <w:r>
              <w:rPr>
                <w:rFonts w:ascii="仿宋" w:hAnsi="仿宋" w:eastAsia="仿宋"/>
                <w:b/>
                <w:szCs w:val="21"/>
              </w:rPr>
              <w:t>0万条：</w:t>
            </w:r>
            <w:r>
              <w:rPr>
                <w:rFonts w:hint="eastAsia" w:ascii="仿宋" w:hAnsi="仿宋" w:eastAsia="仿宋"/>
                <w:szCs w:val="21"/>
              </w:rPr>
              <w:t>自有买家数据库1</w:t>
            </w:r>
            <w:r>
              <w:rPr>
                <w:rFonts w:ascii="仿宋" w:hAnsi="仿宋" w:eastAsia="仿宋"/>
                <w:szCs w:val="21"/>
              </w:rPr>
              <w:t>0万条采购商信息，每月</w:t>
            </w:r>
            <w:r>
              <w:rPr>
                <w:rFonts w:hint="eastAsia" w:ascii="仿宋" w:hAnsi="仿宋" w:eastAsia="仿宋"/>
                <w:szCs w:val="21"/>
              </w:rPr>
              <w:t>2封E</w:t>
            </w:r>
            <w:r>
              <w:rPr>
                <w:rFonts w:ascii="仿宋" w:hAnsi="仿宋" w:eastAsia="仿宋"/>
                <w:szCs w:val="21"/>
              </w:rPr>
              <w:t>DM，精准推送参展企业信息，持续激活采购商。</w:t>
            </w:r>
          </w:p>
        </w:tc>
      </w:tr>
      <w:tr w14:paraId="0DD4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2405" w:type="dxa"/>
          </w:tcPr>
          <w:p w14:paraId="2DACF62F">
            <w:pPr>
              <w:rPr>
                <w:rFonts w:hint="eastAsia" w:ascii="仿宋" w:hAnsi="仿宋" w:eastAsia="仿宋"/>
                <w:b/>
                <w:szCs w:val="21"/>
              </w:rPr>
            </w:pPr>
          </w:p>
          <w:p w14:paraId="5F6D308E">
            <w:pPr>
              <w:rPr>
                <w:rFonts w:hint="eastAsia" w:ascii="仿宋" w:hAnsi="仿宋" w:eastAsia="仿宋"/>
                <w:b/>
                <w:szCs w:val="21"/>
              </w:rPr>
            </w:pPr>
          </w:p>
          <w:p w14:paraId="7AEC9C5C">
            <w:pPr>
              <w:rPr>
                <w:rFonts w:hint="eastAsia" w:ascii="仿宋" w:hAnsi="仿宋" w:eastAsia="仿宋"/>
                <w:b/>
                <w:szCs w:val="21"/>
              </w:rPr>
            </w:pPr>
            <w:r>
              <w:rPr>
                <w:rFonts w:ascii="仿宋" w:hAnsi="仿宋" w:eastAsia="仿宋"/>
                <w:b/>
                <w:szCs w:val="21"/>
              </w:rPr>
              <w:t>海外社媒投放</w:t>
            </w:r>
          </w:p>
        </w:tc>
        <w:tc>
          <w:tcPr>
            <w:tcW w:w="5891" w:type="dxa"/>
          </w:tcPr>
          <w:p w14:paraId="62378163">
            <w:pPr>
              <w:rPr>
                <w:rFonts w:hint="eastAsia" w:ascii="仿宋" w:hAnsi="仿宋" w:eastAsia="仿宋"/>
                <w:b/>
                <w:szCs w:val="21"/>
              </w:rPr>
            </w:pPr>
            <w:r>
              <w:rPr>
                <w:rFonts w:hint="eastAsia" w:ascii="仿宋" w:hAnsi="仿宋" w:eastAsia="仿宋"/>
                <w:b/>
                <w:szCs w:val="21"/>
              </w:rPr>
              <w:t>海外社媒矩阵累计6</w:t>
            </w:r>
            <w:r>
              <w:rPr>
                <w:rFonts w:ascii="仿宋" w:hAnsi="仿宋" w:eastAsia="仿宋"/>
                <w:b/>
                <w:szCs w:val="21"/>
              </w:rPr>
              <w:t>.5万粉丝：</w:t>
            </w:r>
          </w:p>
          <w:p w14:paraId="066B987F">
            <w:pPr>
              <w:pStyle w:val="10"/>
              <w:numPr>
                <w:ilvl w:val="0"/>
                <w:numId w:val="4"/>
              </w:numPr>
              <w:ind w:firstLineChars="0"/>
              <w:rPr>
                <w:rFonts w:hint="eastAsia" w:ascii="仿宋" w:hAnsi="仿宋" w:eastAsia="仿宋"/>
                <w:szCs w:val="21"/>
              </w:rPr>
            </w:pPr>
            <w:r>
              <w:rPr>
                <w:rFonts w:hint="eastAsia" w:ascii="仿宋" w:hAnsi="仿宋" w:eastAsia="仿宋"/>
                <w:szCs w:val="21"/>
              </w:rPr>
              <w:t>通过</w:t>
            </w:r>
            <w:r>
              <w:rPr>
                <w:rFonts w:ascii="仿宋" w:hAnsi="仿宋" w:eastAsia="仿宋"/>
                <w:szCs w:val="21"/>
              </w:rPr>
              <w:t>Facebook</w:t>
            </w:r>
            <w:r>
              <w:rPr>
                <w:rFonts w:hint="eastAsia" w:ascii="仿宋" w:hAnsi="仿宋" w:eastAsia="仿宋"/>
                <w:szCs w:val="21"/>
              </w:rPr>
              <w:t>、</w:t>
            </w:r>
            <w:r>
              <w:rPr>
                <w:rFonts w:ascii="仿宋" w:hAnsi="仿宋" w:eastAsia="仿宋"/>
                <w:szCs w:val="21"/>
              </w:rPr>
              <w:t>TikTok</w:t>
            </w:r>
            <w:r>
              <w:rPr>
                <w:rFonts w:hint="eastAsia" w:ascii="仿宋" w:hAnsi="仿宋" w:eastAsia="仿宋"/>
                <w:szCs w:val="21"/>
              </w:rPr>
              <w:t>、</w:t>
            </w:r>
            <w:r>
              <w:rPr>
                <w:rFonts w:ascii="仿宋" w:hAnsi="仿宋" w:eastAsia="仿宋"/>
                <w:szCs w:val="21"/>
              </w:rPr>
              <w:t>LinkedIn</w:t>
            </w:r>
            <w:r>
              <w:rPr>
                <w:rFonts w:hint="eastAsia" w:ascii="仿宋" w:hAnsi="仿宋" w:eastAsia="仿宋"/>
                <w:szCs w:val="21"/>
              </w:rPr>
              <w:t>等社交、商务平台，重点针对行业企业高管和采购负责人进行精准投流推广；</w:t>
            </w:r>
          </w:p>
          <w:p w14:paraId="68C5F855">
            <w:pPr>
              <w:pStyle w:val="10"/>
              <w:numPr>
                <w:ilvl w:val="0"/>
                <w:numId w:val="4"/>
              </w:numPr>
              <w:ind w:firstLineChars="0"/>
              <w:rPr>
                <w:rFonts w:hint="eastAsia" w:ascii="仿宋" w:hAnsi="仿宋" w:eastAsia="仿宋"/>
                <w:szCs w:val="21"/>
              </w:rPr>
            </w:pPr>
            <w:r>
              <w:rPr>
                <w:rFonts w:hint="eastAsia" w:ascii="仿宋" w:hAnsi="仿宋" w:eastAsia="仿宋"/>
                <w:szCs w:val="21"/>
              </w:rPr>
              <w:t>通过</w:t>
            </w:r>
            <w:r>
              <w:rPr>
                <w:rFonts w:ascii="仿宋" w:hAnsi="仿宋" w:eastAsia="仿宋"/>
                <w:szCs w:val="21"/>
              </w:rPr>
              <w:t>WhatsApp</w:t>
            </w:r>
            <w:r>
              <w:rPr>
                <w:rFonts w:hint="eastAsia" w:ascii="仿宋" w:hAnsi="仿宋" w:eastAsia="仿宋"/>
                <w:szCs w:val="21"/>
              </w:rPr>
              <w:t>、</w:t>
            </w:r>
            <w:r>
              <w:rPr>
                <w:rFonts w:ascii="仿宋" w:hAnsi="仿宋" w:eastAsia="仿宋"/>
                <w:szCs w:val="21"/>
              </w:rPr>
              <w:t>Zalo</w:t>
            </w:r>
            <w:r>
              <w:rPr>
                <w:rFonts w:hint="eastAsia" w:ascii="仿宋" w:hAnsi="仿宋" w:eastAsia="仿宋"/>
                <w:szCs w:val="21"/>
              </w:rPr>
              <w:t>等，进行针对性的广告投放和内容推广，私域流量精准营销。</w:t>
            </w:r>
          </w:p>
        </w:tc>
      </w:tr>
      <w:tr w14:paraId="5142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2405" w:type="dxa"/>
          </w:tcPr>
          <w:p w14:paraId="3492CB42">
            <w:pPr>
              <w:rPr>
                <w:rFonts w:hint="eastAsia" w:ascii="仿宋" w:hAnsi="仿宋" w:eastAsia="仿宋"/>
                <w:b/>
                <w:szCs w:val="21"/>
              </w:rPr>
            </w:pPr>
          </w:p>
          <w:p w14:paraId="7E8C6270">
            <w:pPr>
              <w:rPr>
                <w:rFonts w:hint="eastAsia" w:ascii="仿宋" w:hAnsi="仿宋" w:eastAsia="仿宋"/>
                <w:b/>
                <w:szCs w:val="21"/>
              </w:rPr>
            </w:pPr>
          </w:p>
          <w:p w14:paraId="6AA95D1E">
            <w:pPr>
              <w:rPr>
                <w:rFonts w:hint="eastAsia" w:ascii="仿宋" w:hAnsi="仿宋" w:eastAsia="仿宋"/>
                <w:b/>
                <w:szCs w:val="21"/>
              </w:rPr>
            </w:pPr>
            <w:r>
              <w:rPr>
                <w:rFonts w:ascii="仿宋" w:hAnsi="仿宋" w:eastAsia="仿宋"/>
                <w:b/>
                <w:szCs w:val="21"/>
              </w:rPr>
              <w:t>海外</w:t>
            </w:r>
            <w:r>
              <w:rPr>
                <w:rFonts w:hint="eastAsia" w:ascii="仿宋" w:hAnsi="仿宋" w:eastAsia="仿宋"/>
                <w:b/>
                <w:szCs w:val="21"/>
              </w:rPr>
              <w:t>B</w:t>
            </w:r>
            <w:r>
              <w:rPr>
                <w:rFonts w:ascii="仿宋" w:hAnsi="仿宋" w:eastAsia="仿宋"/>
                <w:b/>
                <w:szCs w:val="21"/>
              </w:rPr>
              <w:t>2B网站内容推广</w:t>
            </w:r>
          </w:p>
        </w:tc>
        <w:tc>
          <w:tcPr>
            <w:tcW w:w="5891" w:type="dxa"/>
          </w:tcPr>
          <w:p w14:paraId="7E66409B">
            <w:pPr>
              <w:rPr>
                <w:rFonts w:hint="eastAsia" w:ascii="仿宋" w:hAnsi="仿宋" w:eastAsia="仿宋"/>
                <w:b/>
                <w:szCs w:val="21"/>
              </w:rPr>
            </w:pPr>
            <w:r>
              <w:rPr>
                <w:rFonts w:hint="eastAsia" w:ascii="仿宋" w:hAnsi="仿宋" w:eastAsia="仿宋"/>
                <w:b/>
                <w:szCs w:val="21"/>
              </w:rPr>
              <w:t>1</w:t>
            </w:r>
            <w:r>
              <w:rPr>
                <w:rFonts w:ascii="仿宋" w:hAnsi="仿宋" w:eastAsia="仿宋"/>
                <w:b/>
                <w:szCs w:val="21"/>
              </w:rPr>
              <w:t>00个</w:t>
            </w:r>
            <w:r>
              <w:rPr>
                <w:rFonts w:hint="eastAsia" w:ascii="仿宋" w:hAnsi="仿宋" w:eastAsia="仿宋"/>
                <w:b/>
                <w:szCs w:val="21"/>
              </w:rPr>
              <w:t>B</w:t>
            </w:r>
            <w:r>
              <w:rPr>
                <w:rFonts w:ascii="仿宋" w:hAnsi="仿宋" w:eastAsia="仿宋"/>
                <w:b/>
                <w:szCs w:val="21"/>
              </w:rPr>
              <w:t>2B网站内容合作：</w:t>
            </w:r>
          </w:p>
          <w:p w14:paraId="33C96C0D">
            <w:pPr>
              <w:pStyle w:val="10"/>
              <w:numPr>
                <w:ilvl w:val="0"/>
                <w:numId w:val="5"/>
              </w:numPr>
              <w:ind w:firstLineChars="0"/>
              <w:rPr>
                <w:rFonts w:hint="eastAsia" w:ascii="仿宋" w:hAnsi="仿宋" w:eastAsia="仿宋"/>
                <w:szCs w:val="21"/>
              </w:rPr>
            </w:pPr>
            <w:r>
              <w:rPr>
                <w:rFonts w:hint="eastAsia" w:ascii="仿宋" w:hAnsi="仿宋" w:eastAsia="仿宋"/>
                <w:szCs w:val="21"/>
              </w:rPr>
              <w:t>定期更新展会信息、行业资讯、展商新闻、发布新产品和新技术，通过发布深度原创内容，黏住精准采购商，建立品牌认同和美誉度，邀请采购商到场。</w:t>
            </w:r>
          </w:p>
        </w:tc>
      </w:tr>
      <w:tr w14:paraId="450D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2405" w:type="dxa"/>
          </w:tcPr>
          <w:p w14:paraId="12255F93">
            <w:pPr>
              <w:rPr>
                <w:rFonts w:hint="eastAsia" w:ascii="仿宋" w:hAnsi="仿宋" w:eastAsia="仿宋"/>
                <w:b/>
                <w:szCs w:val="21"/>
              </w:rPr>
            </w:pPr>
            <w:r>
              <w:rPr>
                <w:rFonts w:ascii="仿宋" w:hAnsi="仿宋" w:eastAsia="仿宋"/>
                <w:b/>
                <w:szCs w:val="21"/>
              </w:rPr>
              <w:t>海外达人推广</w:t>
            </w:r>
          </w:p>
        </w:tc>
        <w:tc>
          <w:tcPr>
            <w:tcW w:w="5891" w:type="dxa"/>
          </w:tcPr>
          <w:p w14:paraId="3ED054CE">
            <w:pPr>
              <w:rPr>
                <w:rFonts w:hint="eastAsia" w:ascii="仿宋" w:hAnsi="仿宋" w:eastAsia="仿宋"/>
                <w:b/>
                <w:szCs w:val="21"/>
              </w:rPr>
            </w:pPr>
            <w:r>
              <w:rPr>
                <w:rFonts w:hint="eastAsia" w:ascii="仿宋" w:hAnsi="仿宋" w:eastAsia="仿宋"/>
                <w:b/>
                <w:szCs w:val="21"/>
              </w:rPr>
              <w:t>2</w:t>
            </w:r>
            <w:r>
              <w:rPr>
                <w:rFonts w:ascii="仿宋" w:hAnsi="仿宋" w:eastAsia="仿宋"/>
                <w:b/>
                <w:szCs w:val="21"/>
              </w:rPr>
              <w:t>0个自媒体达人合作：</w:t>
            </w:r>
          </w:p>
          <w:p w14:paraId="59524AD6">
            <w:pPr>
              <w:pStyle w:val="10"/>
              <w:numPr>
                <w:ilvl w:val="0"/>
                <w:numId w:val="5"/>
              </w:numPr>
              <w:ind w:firstLineChars="0"/>
              <w:rPr>
                <w:rFonts w:hint="eastAsia" w:ascii="仿宋" w:hAnsi="仿宋" w:eastAsia="仿宋"/>
                <w:szCs w:val="21"/>
              </w:rPr>
            </w:pPr>
            <w:r>
              <w:rPr>
                <w:rFonts w:hint="eastAsia" w:ascii="仿宋" w:hAnsi="仿宋" w:eastAsia="仿宋"/>
                <w:szCs w:val="21"/>
              </w:rPr>
              <w:t>与越南道哥等自媒体达人深度合作，通过连线直播、访谈等形式，为展会造势，为参展企业引流。</w:t>
            </w:r>
          </w:p>
        </w:tc>
      </w:tr>
      <w:tr w14:paraId="765A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405" w:type="dxa"/>
          </w:tcPr>
          <w:p w14:paraId="3E41170B">
            <w:pPr>
              <w:rPr>
                <w:rFonts w:hint="eastAsia" w:ascii="仿宋" w:hAnsi="仿宋" w:eastAsia="仿宋"/>
                <w:b/>
                <w:szCs w:val="21"/>
              </w:rPr>
            </w:pPr>
            <w:r>
              <w:rPr>
                <w:rFonts w:ascii="仿宋" w:hAnsi="仿宋" w:eastAsia="仿宋"/>
                <w:b/>
                <w:szCs w:val="21"/>
              </w:rPr>
              <w:t>海外传统权威媒体推广</w:t>
            </w:r>
          </w:p>
        </w:tc>
        <w:tc>
          <w:tcPr>
            <w:tcW w:w="5891" w:type="dxa"/>
          </w:tcPr>
          <w:p w14:paraId="621DC94D">
            <w:pPr>
              <w:rPr>
                <w:rFonts w:hint="eastAsia" w:ascii="仿宋" w:hAnsi="仿宋" w:eastAsia="仿宋"/>
                <w:b/>
                <w:szCs w:val="21"/>
              </w:rPr>
            </w:pPr>
            <w:r>
              <w:rPr>
                <w:rFonts w:ascii="仿宋" w:hAnsi="仿宋" w:eastAsia="仿宋"/>
                <w:b/>
                <w:szCs w:val="21"/>
              </w:rPr>
              <w:t>100家传统媒体推广：</w:t>
            </w:r>
          </w:p>
          <w:p w14:paraId="2BC073AE">
            <w:pPr>
              <w:pStyle w:val="10"/>
              <w:numPr>
                <w:ilvl w:val="0"/>
                <w:numId w:val="5"/>
              </w:numPr>
              <w:ind w:firstLineChars="0"/>
              <w:rPr>
                <w:rFonts w:hint="eastAsia" w:ascii="仿宋" w:hAnsi="仿宋" w:eastAsia="仿宋"/>
                <w:szCs w:val="21"/>
              </w:rPr>
            </w:pPr>
            <w:r>
              <w:rPr>
                <w:rFonts w:hint="eastAsia" w:ascii="仿宋" w:hAnsi="仿宋" w:eastAsia="仿宋"/>
                <w:szCs w:val="21"/>
              </w:rPr>
              <w:t>越南唯一华文报纸西贡解放日报全年度刊登侨交会越南展新闻。</w:t>
            </w:r>
          </w:p>
          <w:p w14:paraId="1122927C">
            <w:pPr>
              <w:pStyle w:val="10"/>
              <w:numPr>
                <w:ilvl w:val="0"/>
                <w:numId w:val="5"/>
              </w:numPr>
              <w:ind w:firstLineChars="0"/>
              <w:rPr>
                <w:rFonts w:hint="eastAsia" w:ascii="仿宋" w:hAnsi="仿宋" w:eastAsia="仿宋"/>
                <w:szCs w:val="21"/>
              </w:rPr>
            </w:pPr>
            <w:r>
              <w:rPr>
                <w:rFonts w:hint="eastAsia" w:ascii="仿宋" w:hAnsi="仿宋" w:eastAsia="仿宋"/>
                <w:szCs w:val="21"/>
              </w:rPr>
              <w:t>越南相关政府部门官网长期刊登侨交会越南展信息。</w:t>
            </w:r>
          </w:p>
        </w:tc>
      </w:tr>
      <w:tr w14:paraId="103E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405" w:type="dxa"/>
          </w:tcPr>
          <w:p w14:paraId="047B3511">
            <w:pPr>
              <w:rPr>
                <w:rFonts w:hint="eastAsia" w:ascii="仿宋" w:hAnsi="仿宋" w:eastAsia="仿宋"/>
                <w:b/>
                <w:szCs w:val="21"/>
              </w:rPr>
            </w:pPr>
          </w:p>
          <w:p w14:paraId="05AF8D18">
            <w:pPr>
              <w:rPr>
                <w:rFonts w:hint="eastAsia" w:ascii="仿宋" w:hAnsi="仿宋" w:eastAsia="仿宋"/>
                <w:b/>
                <w:szCs w:val="21"/>
              </w:rPr>
            </w:pPr>
            <w:r>
              <w:rPr>
                <w:rFonts w:ascii="仿宋" w:hAnsi="仿宋" w:eastAsia="仿宋"/>
                <w:b/>
                <w:szCs w:val="21"/>
              </w:rPr>
              <w:t>越南语电话营销</w:t>
            </w:r>
          </w:p>
        </w:tc>
        <w:tc>
          <w:tcPr>
            <w:tcW w:w="5891" w:type="dxa"/>
          </w:tcPr>
          <w:p w14:paraId="3AC482DF">
            <w:pPr>
              <w:rPr>
                <w:rFonts w:hint="eastAsia" w:ascii="仿宋" w:hAnsi="仿宋" w:eastAsia="仿宋"/>
                <w:b/>
                <w:szCs w:val="21"/>
              </w:rPr>
            </w:pPr>
            <w:r>
              <w:rPr>
                <w:rFonts w:hint="eastAsia" w:ascii="仿宋" w:hAnsi="仿宋" w:eastAsia="仿宋"/>
                <w:b/>
                <w:szCs w:val="21"/>
              </w:rPr>
              <w:t>1</w:t>
            </w:r>
            <w:r>
              <w:rPr>
                <w:rFonts w:ascii="仿宋" w:hAnsi="仿宋" w:eastAsia="仿宋"/>
                <w:b/>
                <w:szCs w:val="21"/>
              </w:rPr>
              <w:t>0本地团队精准邀约：</w:t>
            </w:r>
          </w:p>
          <w:p w14:paraId="1FDD84D9">
            <w:pPr>
              <w:pStyle w:val="10"/>
              <w:numPr>
                <w:ilvl w:val="0"/>
                <w:numId w:val="6"/>
              </w:numPr>
              <w:ind w:firstLineChars="0"/>
              <w:rPr>
                <w:rFonts w:hint="eastAsia" w:ascii="仿宋" w:hAnsi="仿宋" w:eastAsia="仿宋"/>
                <w:szCs w:val="21"/>
              </w:rPr>
            </w:pPr>
            <w:r>
              <w:rPr>
                <w:rFonts w:ascii="仿宋" w:hAnsi="仿宋" w:eastAsia="仿宋"/>
                <w:szCs w:val="21"/>
              </w:rPr>
              <w:t>侨交会本地团队在展前</w:t>
            </w:r>
            <w:r>
              <w:rPr>
                <w:rFonts w:hint="eastAsia" w:ascii="仿宋" w:hAnsi="仿宋" w:eastAsia="仿宋"/>
                <w:szCs w:val="21"/>
              </w:rPr>
              <w:t>6个月，使用</w:t>
            </w:r>
            <w:r>
              <w:rPr>
                <w:rFonts w:ascii="仿宋" w:hAnsi="仿宋" w:eastAsia="仿宋"/>
                <w:szCs w:val="21"/>
              </w:rPr>
              <w:t>越南语电话一一与采购商确认采购需求及到场时间，为参展企业精准与匹配采购订单。</w:t>
            </w:r>
          </w:p>
        </w:tc>
      </w:tr>
      <w:tr w14:paraId="4E22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Pr>
          <w:p w14:paraId="3E0B2F4B">
            <w:pPr>
              <w:jc w:val="center"/>
              <w:rPr>
                <w:rFonts w:hint="eastAsia" w:ascii="仿宋" w:hAnsi="仿宋" w:eastAsia="仿宋"/>
                <w:b/>
                <w:sz w:val="24"/>
                <w:szCs w:val="24"/>
              </w:rPr>
            </w:pPr>
            <w:r>
              <w:rPr>
                <w:rFonts w:hint="eastAsia" w:ascii="仿宋" w:hAnsi="仿宋" w:eastAsia="仿宋"/>
                <w:b/>
                <w:sz w:val="24"/>
                <w:szCs w:val="24"/>
              </w:rPr>
              <w:t>线下</w:t>
            </w:r>
          </w:p>
        </w:tc>
      </w:tr>
      <w:tr w14:paraId="7831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0CB5E233">
            <w:pPr>
              <w:rPr>
                <w:rFonts w:hint="eastAsia" w:ascii="仿宋" w:hAnsi="仿宋" w:eastAsia="仿宋"/>
                <w:b/>
                <w:szCs w:val="21"/>
              </w:rPr>
            </w:pPr>
          </w:p>
          <w:p w14:paraId="38B36557">
            <w:pPr>
              <w:rPr>
                <w:rFonts w:hint="eastAsia" w:ascii="仿宋" w:hAnsi="仿宋" w:eastAsia="仿宋"/>
                <w:b/>
                <w:szCs w:val="21"/>
              </w:rPr>
            </w:pPr>
            <w:r>
              <w:rPr>
                <w:rFonts w:ascii="仿宋" w:hAnsi="仿宋" w:eastAsia="仿宋"/>
                <w:b/>
                <w:szCs w:val="21"/>
              </w:rPr>
              <w:t>专业市场地推</w:t>
            </w:r>
          </w:p>
        </w:tc>
        <w:tc>
          <w:tcPr>
            <w:tcW w:w="5891" w:type="dxa"/>
          </w:tcPr>
          <w:p w14:paraId="554397E4">
            <w:pPr>
              <w:rPr>
                <w:rFonts w:hint="eastAsia" w:ascii="仿宋" w:hAnsi="仿宋" w:eastAsia="仿宋"/>
                <w:b/>
                <w:szCs w:val="21"/>
              </w:rPr>
            </w:pPr>
            <w:r>
              <w:rPr>
                <w:rFonts w:ascii="仿宋" w:hAnsi="仿宋" w:eastAsia="仿宋"/>
                <w:b/>
                <w:szCs w:val="21"/>
              </w:rPr>
              <w:t>聚沙成塔</w:t>
            </w:r>
          </w:p>
          <w:p w14:paraId="1D26E524">
            <w:pPr>
              <w:pStyle w:val="10"/>
              <w:numPr>
                <w:ilvl w:val="0"/>
                <w:numId w:val="6"/>
              </w:numPr>
              <w:ind w:firstLineChars="0"/>
              <w:rPr>
                <w:rFonts w:hint="eastAsia" w:ascii="仿宋" w:hAnsi="仿宋" w:eastAsia="仿宋"/>
                <w:szCs w:val="21"/>
              </w:rPr>
            </w:pPr>
            <w:r>
              <w:rPr>
                <w:rFonts w:hint="eastAsia" w:ascii="仿宋" w:hAnsi="仿宋" w:eastAsia="仿宋"/>
                <w:szCs w:val="21"/>
              </w:rPr>
              <w:t>越南线下市场分散，规模小，侨交会用2年时间通过持续的线下走访，积累了线下批发商资料，并定期上门拜访，为批发商提供国内产品目录，邀请批发商到展会现场采购。</w:t>
            </w:r>
          </w:p>
        </w:tc>
      </w:tr>
      <w:tr w14:paraId="598A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405" w:type="dxa"/>
          </w:tcPr>
          <w:p w14:paraId="16249B28">
            <w:pPr>
              <w:rPr>
                <w:rFonts w:hint="eastAsia" w:ascii="仿宋" w:hAnsi="仿宋" w:eastAsia="仿宋"/>
                <w:b/>
                <w:szCs w:val="21"/>
              </w:rPr>
            </w:pPr>
            <w:r>
              <w:rPr>
                <w:rFonts w:ascii="仿宋" w:hAnsi="仿宋" w:eastAsia="仿宋"/>
                <w:b/>
                <w:szCs w:val="21"/>
              </w:rPr>
              <w:t>工业园区户外广告</w:t>
            </w:r>
          </w:p>
        </w:tc>
        <w:tc>
          <w:tcPr>
            <w:tcW w:w="5891" w:type="dxa"/>
          </w:tcPr>
          <w:p w14:paraId="156110E5">
            <w:pPr>
              <w:rPr>
                <w:rFonts w:hint="eastAsia" w:ascii="仿宋" w:hAnsi="仿宋" w:eastAsia="仿宋"/>
                <w:b/>
                <w:szCs w:val="21"/>
              </w:rPr>
            </w:pPr>
            <w:r>
              <w:rPr>
                <w:rFonts w:hint="eastAsia" w:ascii="仿宋" w:hAnsi="仿宋" w:eastAsia="仿宋"/>
                <w:b/>
                <w:szCs w:val="21"/>
              </w:rPr>
              <w:t>1</w:t>
            </w:r>
            <w:r>
              <w:rPr>
                <w:rFonts w:ascii="仿宋" w:hAnsi="仿宋" w:eastAsia="仿宋"/>
                <w:b/>
                <w:szCs w:val="21"/>
              </w:rPr>
              <w:t>00个工业园区广告</w:t>
            </w:r>
          </w:p>
          <w:p w14:paraId="47D1DFFB">
            <w:pPr>
              <w:pStyle w:val="10"/>
              <w:numPr>
                <w:ilvl w:val="0"/>
                <w:numId w:val="6"/>
              </w:numPr>
              <w:ind w:firstLineChars="0"/>
              <w:rPr>
                <w:rFonts w:hint="eastAsia" w:ascii="仿宋" w:hAnsi="仿宋" w:eastAsia="仿宋"/>
                <w:szCs w:val="21"/>
              </w:rPr>
            </w:pPr>
            <w:r>
              <w:rPr>
                <w:rFonts w:hint="eastAsia" w:ascii="仿宋" w:hAnsi="仿宋" w:eastAsia="仿宋"/>
                <w:szCs w:val="21"/>
              </w:rPr>
              <w:t>展会内容覆盖1</w:t>
            </w:r>
            <w:r>
              <w:rPr>
                <w:rFonts w:ascii="仿宋" w:hAnsi="仿宋" w:eastAsia="仿宋"/>
                <w:szCs w:val="21"/>
              </w:rPr>
              <w:t>00个对口工业园区的超过</w:t>
            </w:r>
            <w:r>
              <w:rPr>
                <w:rFonts w:hint="eastAsia" w:ascii="仿宋" w:hAnsi="仿宋" w:eastAsia="仿宋"/>
                <w:szCs w:val="21"/>
              </w:rPr>
              <w:t>1</w:t>
            </w:r>
            <w:r>
              <w:rPr>
                <w:rFonts w:ascii="仿宋" w:hAnsi="仿宋" w:eastAsia="仿宋"/>
                <w:szCs w:val="21"/>
              </w:rPr>
              <w:t>万家企业。</w:t>
            </w:r>
          </w:p>
        </w:tc>
      </w:tr>
      <w:tr w14:paraId="1E56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31B43BA0">
            <w:pPr>
              <w:rPr>
                <w:rFonts w:hint="eastAsia" w:ascii="仿宋" w:hAnsi="仿宋" w:eastAsia="仿宋"/>
                <w:b/>
                <w:szCs w:val="21"/>
              </w:rPr>
            </w:pPr>
            <w:r>
              <w:rPr>
                <w:rFonts w:ascii="仿宋" w:hAnsi="仿宋" w:eastAsia="仿宋"/>
                <w:b/>
                <w:szCs w:val="21"/>
              </w:rPr>
              <w:t>当地展会与活动</w:t>
            </w:r>
          </w:p>
        </w:tc>
        <w:tc>
          <w:tcPr>
            <w:tcW w:w="5891" w:type="dxa"/>
          </w:tcPr>
          <w:p w14:paraId="6A60498E">
            <w:pPr>
              <w:rPr>
                <w:rFonts w:hint="eastAsia" w:ascii="仿宋" w:hAnsi="仿宋" w:eastAsia="仿宋"/>
                <w:b/>
                <w:szCs w:val="21"/>
              </w:rPr>
            </w:pPr>
            <w:r>
              <w:rPr>
                <w:rFonts w:ascii="仿宋" w:hAnsi="仿宋" w:eastAsia="仿宋"/>
                <w:b/>
                <w:szCs w:val="21"/>
              </w:rPr>
              <w:t>每年</w:t>
            </w:r>
            <w:r>
              <w:rPr>
                <w:rFonts w:hint="eastAsia" w:ascii="仿宋" w:hAnsi="仿宋" w:eastAsia="仿宋"/>
                <w:b/>
                <w:szCs w:val="21"/>
              </w:rPr>
              <w:t>2</w:t>
            </w:r>
            <w:r>
              <w:rPr>
                <w:rFonts w:ascii="仿宋" w:hAnsi="仿宋" w:eastAsia="仿宋"/>
                <w:b/>
                <w:szCs w:val="21"/>
              </w:rPr>
              <w:t>0场+活动</w:t>
            </w:r>
          </w:p>
          <w:p w14:paraId="0AF2C406">
            <w:pPr>
              <w:pStyle w:val="10"/>
              <w:numPr>
                <w:ilvl w:val="0"/>
                <w:numId w:val="6"/>
              </w:numPr>
              <w:ind w:firstLineChars="0"/>
              <w:rPr>
                <w:rFonts w:hint="eastAsia" w:ascii="仿宋" w:hAnsi="仿宋" w:eastAsia="仿宋"/>
                <w:szCs w:val="21"/>
              </w:rPr>
            </w:pPr>
            <w:r>
              <w:rPr>
                <w:rFonts w:ascii="仿宋" w:hAnsi="仿宋" w:eastAsia="仿宋"/>
                <w:szCs w:val="21"/>
              </w:rPr>
              <w:t>在越南参展、参会、举办活动，持续开发高端政商资源，为参展企业服务。</w:t>
            </w:r>
          </w:p>
        </w:tc>
      </w:tr>
      <w:tr w14:paraId="3317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06301446">
            <w:pPr>
              <w:rPr>
                <w:rFonts w:hint="eastAsia" w:ascii="仿宋" w:hAnsi="仿宋" w:eastAsia="仿宋"/>
                <w:b/>
                <w:szCs w:val="21"/>
              </w:rPr>
            </w:pPr>
            <w:r>
              <w:rPr>
                <w:rFonts w:ascii="仿宋" w:hAnsi="仿宋" w:eastAsia="仿宋"/>
                <w:b/>
                <w:szCs w:val="21"/>
              </w:rPr>
              <w:t>与当地商会、协会合作</w:t>
            </w:r>
          </w:p>
        </w:tc>
        <w:tc>
          <w:tcPr>
            <w:tcW w:w="5891" w:type="dxa"/>
          </w:tcPr>
          <w:p w14:paraId="7D8663D1">
            <w:pPr>
              <w:rPr>
                <w:rFonts w:hint="eastAsia" w:ascii="仿宋" w:hAnsi="仿宋" w:eastAsia="仿宋"/>
                <w:b/>
                <w:szCs w:val="21"/>
              </w:rPr>
            </w:pPr>
            <w:r>
              <w:rPr>
                <w:rFonts w:ascii="仿宋" w:hAnsi="仿宋" w:eastAsia="仿宋"/>
                <w:b/>
                <w:szCs w:val="21"/>
              </w:rPr>
              <w:t>合作商协会超过</w:t>
            </w:r>
            <w:r>
              <w:rPr>
                <w:rFonts w:hint="eastAsia" w:ascii="仿宋" w:hAnsi="仿宋" w:eastAsia="仿宋"/>
                <w:b/>
                <w:szCs w:val="21"/>
              </w:rPr>
              <w:t>5</w:t>
            </w:r>
            <w:r>
              <w:rPr>
                <w:rFonts w:ascii="仿宋" w:hAnsi="仿宋" w:eastAsia="仿宋"/>
                <w:b/>
                <w:szCs w:val="21"/>
              </w:rPr>
              <w:t>0家</w:t>
            </w:r>
          </w:p>
          <w:p w14:paraId="27B05771">
            <w:pPr>
              <w:pStyle w:val="10"/>
              <w:numPr>
                <w:ilvl w:val="0"/>
                <w:numId w:val="6"/>
              </w:numPr>
              <w:ind w:firstLineChars="0"/>
              <w:rPr>
                <w:rFonts w:hint="eastAsia" w:ascii="仿宋" w:hAnsi="仿宋" w:eastAsia="仿宋"/>
                <w:szCs w:val="21"/>
              </w:rPr>
            </w:pPr>
            <w:r>
              <w:rPr>
                <w:rFonts w:hint="eastAsia" w:ascii="仿宋" w:hAnsi="仿宋" w:eastAsia="仿宋"/>
                <w:szCs w:val="21"/>
              </w:rPr>
              <w:t>通过华人商会和本地行业协会，覆盖会员企业，开拓市场。</w:t>
            </w:r>
          </w:p>
        </w:tc>
      </w:tr>
    </w:tbl>
    <w:p w14:paraId="206915A5">
      <w:pPr>
        <w:pStyle w:val="10"/>
        <w:spacing w:before="156" w:beforeLines="50"/>
        <w:ind w:firstLine="0" w:firstLineChars="0"/>
        <w:rPr>
          <w:rFonts w:hint="eastAsia" w:ascii="黑体" w:hAnsi="黑体" w:eastAsia="黑体"/>
          <w:b/>
          <w:sz w:val="28"/>
          <w:szCs w:val="28"/>
        </w:rPr>
      </w:pPr>
      <w:r>
        <w:drawing>
          <wp:inline distT="0" distB="0" distL="114300" distR="114300">
            <wp:extent cx="5271770" cy="1715770"/>
            <wp:effectExtent l="0" t="0" r="11430"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5271770" cy="1715770"/>
                    </a:xfrm>
                    <a:prstGeom prst="rect">
                      <a:avLst/>
                    </a:prstGeom>
                    <a:noFill/>
                    <a:ln>
                      <a:noFill/>
                    </a:ln>
                  </pic:spPr>
                </pic:pic>
              </a:graphicData>
            </a:graphic>
          </wp:inline>
        </w:drawing>
      </w:r>
    </w:p>
    <w:p w14:paraId="7A701BC0">
      <w:pPr>
        <w:pStyle w:val="10"/>
        <w:numPr>
          <w:ilvl w:val="0"/>
          <w:numId w:val="1"/>
        </w:numPr>
        <w:spacing w:before="156" w:beforeLines="50"/>
        <w:ind w:firstLineChars="0"/>
        <w:rPr>
          <w:rFonts w:hint="eastAsia" w:ascii="黑体" w:hAnsi="黑体" w:eastAsia="黑体"/>
          <w:b/>
          <w:sz w:val="28"/>
          <w:szCs w:val="28"/>
        </w:rPr>
      </w:pPr>
      <w:r>
        <w:rPr>
          <w:rFonts w:ascii="黑体" w:hAnsi="黑体" w:eastAsia="黑体"/>
          <w:b/>
          <w:sz w:val="28"/>
          <w:szCs w:val="28"/>
        </w:rPr>
        <w:t>越南市场机遇</w:t>
      </w:r>
    </w:p>
    <w:p w14:paraId="39E59986">
      <w:pPr>
        <w:pStyle w:val="10"/>
        <w:numPr>
          <w:ilvl w:val="1"/>
          <w:numId w:val="1"/>
        </w:numPr>
        <w:ind w:firstLineChars="0"/>
        <w:rPr>
          <w:rFonts w:hint="eastAsia" w:ascii="仿宋" w:hAnsi="仿宋" w:eastAsia="仿宋"/>
          <w:sz w:val="28"/>
          <w:szCs w:val="28"/>
        </w:rPr>
      </w:pPr>
      <w:r>
        <w:rPr>
          <w:rFonts w:hint="eastAsia" w:ascii="仿宋" w:hAnsi="仿宋" w:eastAsia="仿宋" w:cs="Tahoma"/>
          <w:b/>
          <w:bCs/>
          <w:kern w:val="0"/>
          <w:sz w:val="28"/>
          <w:szCs w:val="28"/>
        </w:rPr>
        <w:t>深厚的贸易合作基础：</w:t>
      </w:r>
      <w:r>
        <w:rPr>
          <w:rFonts w:hint="eastAsia" w:ascii="仿宋" w:hAnsi="仿宋" w:eastAsia="仿宋" w:cs="Tahoma"/>
          <w:bCs/>
          <w:kern w:val="0"/>
          <w:sz w:val="28"/>
          <w:szCs w:val="28"/>
        </w:rPr>
        <w:t>越南</w:t>
      </w:r>
      <w:r>
        <w:rPr>
          <w:rFonts w:hint="eastAsia" w:ascii="仿宋" w:hAnsi="仿宋" w:eastAsia="仿宋" w:cs="Tahoma"/>
          <w:kern w:val="0"/>
          <w:sz w:val="28"/>
          <w:szCs w:val="28"/>
        </w:rPr>
        <w:t>G</w:t>
      </w:r>
      <w:r>
        <w:rPr>
          <w:rFonts w:ascii="仿宋" w:hAnsi="仿宋" w:eastAsia="仿宋" w:cs="Tahoma"/>
          <w:kern w:val="0"/>
          <w:sz w:val="28"/>
          <w:szCs w:val="28"/>
        </w:rPr>
        <w:t>DP增长迅速，基础设施建设、工业建设、数字化建设，终端市场消费需求等需求量旺盛，</w:t>
      </w:r>
      <w:r>
        <w:rPr>
          <w:rFonts w:hint="eastAsia" w:ascii="仿宋" w:hAnsi="仿宋" w:eastAsia="仿宋" w:cs="Tahoma"/>
          <w:kern w:val="0"/>
          <w:sz w:val="28"/>
          <w:szCs w:val="28"/>
        </w:rPr>
        <w:t>中国是越南</w:t>
      </w:r>
      <w:r>
        <w:rPr>
          <w:rFonts w:hint="eastAsia" w:ascii="仿宋" w:hAnsi="仿宋" w:eastAsia="仿宋" w:cs="Tahoma"/>
          <w:b/>
          <w:bCs/>
          <w:kern w:val="0"/>
          <w:sz w:val="28"/>
          <w:szCs w:val="28"/>
        </w:rPr>
        <w:t>第一大贸易伙伴</w:t>
      </w:r>
      <w:r>
        <w:rPr>
          <w:rFonts w:hint="eastAsia" w:ascii="仿宋" w:hAnsi="仿宋" w:eastAsia="仿宋" w:cs="Tahoma"/>
          <w:kern w:val="0"/>
          <w:sz w:val="28"/>
          <w:szCs w:val="28"/>
        </w:rPr>
        <w:t>、</w:t>
      </w:r>
      <w:r>
        <w:rPr>
          <w:rFonts w:hint="eastAsia" w:ascii="仿宋" w:hAnsi="仿宋" w:eastAsia="仿宋" w:cs="Tahoma"/>
          <w:b/>
          <w:bCs/>
          <w:kern w:val="0"/>
          <w:sz w:val="28"/>
          <w:szCs w:val="28"/>
        </w:rPr>
        <w:t>第一大进口来源地</w:t>
      </w:r>
      <w:r>
        <w:rPr>
          <w:rFonts w:hint="eastAsia" w:ascii="仿宋" w:hAnsi="仿宋" w:eastAsia="仿宋" w:cs="Tahoma"/>
          <w:kern w:val="0"/>
          <w:sz w:val="28"/>
          <w:szCs w:val="28"/>
        </w:rPr>
        <w:t>和</w:t>
      </w:r>
      <w:r>
        <w:rPr>
          <w:rFonts w:hint="eastAsia" w:ascii="仿宋" w:hAnsi="仿宋" w:eastAsia="仿宋" w:cs="Tahoma"/>
          <w:b/>
          <w:bCs/>
          <w:kern w:val="0"/>
          <w:sz w:val="28"/>
          <w:szCs w:val="28"/>
        </w:rPr>
        <w:t>第二大出口目的地</w:t>
      </w:r>
      <w:r>
        <w:rPr>
          <w:rFonts w:hint="eastAsia" w:ascii="仿宋" w:hAnsi="仿宋" w:eastAsia="仿宋" w:cs="Tahoma"/>
          <w:kern w:val="0"/>
          <w:sz w:val="28"/>
          <w:szCs w:val="28"/>
        </w:rPr>
        <w:t>，随着国际贸易格局的变化，中国将有越来越多的终端产品、原材料、半成品、生产制造机械通过越南辐射全球市场。</w:t>
      </w:r>
    </w:p>
    <w:p w14:paraId="383F7E6D">
      <w:pPr>
        <w:pStyle w:val="10"/>
        <w:numPr>
          <w:ilvl w:val="1"/>
          <w:numId w:val="1"/>
        </w:numPr>
        <w:ind w:firstLineChars="0"/>
        <w:rPr>
          <w:rFonts w:hint="eastAsia" w:ascii="仿宋" w:hAnsi="仿宋" w:eastAsia="仿宋"/>
          <w:sz w:val="28"/>
          <w:szCs w:val="28"/>
        </w:rPr>
      </w:pPr>
      <w:r>
        <w:rPr>
          <w:rFonts w:hint="eastAsia" w:ascii="仿宋" w:hAnsi="仿宋" w:eastAsia="仿宋" w:cs="Tahoma"/>
          <w:b/>
          <w:bCs/>
          <w:kern w:val="0"/>
          <w:sz w:val="28"/>
          <w:szCs w:val="28"/>
        </w:rPr>
        <w:t>快速增长的市场前景：</w:t>
      </w:r>
      <w:r>
        <w:rPr>
          <w:rFonts w:hint="eastAsia" w:ascii="仿宋" w:hAnsi="仿宋" w:eastAsia="仿宋" w:cs="Tahoma"/>
          <w:kern w:val="0"/>
          <w:sz w:val="28"/>
          <w:szCs w:val="28"/>
        </w:rPr>
        <w:t>越南人口过亿，是东南亚第三大市场，人口结构年轻化，35岁以下人口占总人口55.6%，新家庭数量多，中产阶级比例逐年递增，对智能家居产品、移动电子产品、家居用品消费需求旺盛。越南移动网络覆盖率达99.7%，从越南电商平台销售数据看，家居用品、3C类都是销售重点类目，特别是蓝牙耳机、游戏耳机、快充数据线、转接头、智能手表和手环等，是年轻人的热搜内容。</w:t>
      </w:r>
    </w:p>
    <w:p w14:paraId="76E1DFC8">
      <w:pPr>
        <w:pStyle w:val="10"/>
        <w:numPr>
          <w:ilvl w:val="0"/>
          <w:numId w:val="1"/>
        </w:numPr>
        <w:spacing w:before="156" w:beforeLines="50"/>
        <w:ind w:firstLineChars="0"/>
        <w:rPr>
          <w:rFonts w:hint="eastAsia" w:ascii="黑体" w:hAnsi="黑体" w:eastAsia="黑体"/>
          <w:b/>
          <w:sz w:val="28"/>
          <w:szCs w:val="28"/>
        </w:rPr>
      </w:pPr>
      <w:r>
        <w:rPr>
          <w:rFonts w:ascii="黑体" w:hAnsi="黑体" w:eastAsia="黑体"/>
          <w:b/>
          <w:sz w:val="28"/>
          <w:szCs w:val="28"/>
        </w:rPr>
        <w:t>展会特点及优势</w:t>
      </w:r>
    </w:p>
    <w:p w14:paraId="5252E0BC">
      <w:pPr>
        <w:pStyle w:val="10"/>
        <w:numPr>
          <w:ilvl w:val="1"/>
          <w:numId w:val="1"/>
        </w:numPr>
        <w:ind w:firstLineChars="0"/>
        <w:rPr>
          <w:rFonts w:hint="eastAsia" w:ascii="仿宋" w:hAnsi="仿宋" w:eastAsia="仿宋"/>
          <w:sz w:val="28"/>
          <w:szCs w:val="28"/>
        </w:rPr>
      </w:pPr>
      <w:r>
        <w:rPr>
          <w:rFonts w:hint="eastAsia" w:ascii="仿宋" w:hAnsi="仿宋" w:eastAsia="仿宋"/>
          <w:b/>
          <w:sz w:val="28"/>
          <w:szCs w:val="28"/>
        </w:rPr>
        <w:t>专业办展，展会有知名度、有成效：</w:t>
      </w:r>
      <w:r>
        <w:rPr>
          <w:rFonts w:hint="eastAsia" w:ascii="仿宋" w:hAnsi="仿宋" w:eastAsia="仿宋"/>
          <w:sz w:val="28"/>
          <w:szCs w:val="28"/>
        </w:rPr>
        <w:t>侨交会有1</w:t>
      </w:r>
      <w:r>
        <w:rPr>
          <w:rFonts w:ascii="仿宋" w:hAnsi="仿宋" w:eastAsia="仿宋"/>
          <w:sz w:val="28"/>
          <w:szCs w:val="28"/>
        </w:rPr>
        <w:t>0年办展经验，是</w:t>
      </w:r>
      <w:r>
        <w:rPr>
          <w:rFonts w:hint="eastAsia" w:ascii="仿宋" w:hAnsi="仿宋" w:eastAsia="仿宋"/>
          <w:sz w:val="28"/>
          <w:szCs w:val="28"/>
        </w:rPr>
        <w:t>2</w:t>
      </w:r>
      <w:r>
        <w:rPr>
          <w:rFonts w:ascii="仿宋" w:hAnsi="仿宋" w:eastAsia="仿宋"/>
          <w:sz w:val="28"/>
          <w:szCs w:val="28"/>
        </w:rPr>
        <w:t>024年广东省会展百强企业，越南采购商资源丰富，宣传推广渠道覆盖越南线上线下全域。侨交会越南智能科技已经连续办到第三届，累计到场观众超过</w:t>
      </w:r>
      <w:r>
        <w:rPr>
          <w:rFonts w:hint="eastAsia" w:ascii="仿宋" w:hAnsi="仿宋" w:eastAsia="仿宋"/>
          <w:sz w:val="28"/>
          <w:szCs w:val="28"/>
        </w:rPr>
        <w:t>2</w:t>
      </w:r>
      <w:r>
        <w:rPr>
          <w:rFonts w:ascii="仿宋" w:hAnsi="仿宋" w:eastAsia="仿宋"/>
          <w:sz w:val="28"/>
          <w:szCs w:val="28"/>
        </w:rPr>
        <w:t>.5万人次，专业观众满意度超过</w:t>
      </w:r>
      <w:r>
        <w:rPr>
          <w:rFonts w:hint="eastAsia" w:ascii="仿宋" w:hAnsi="仿宋" w:eastAsia="仿宋"/>
          <w:sz w:val="28"/>
          <w:szCs w:val="28"/>
        </w:rPr>
        <w:t>9</w:t>
      </w:r>
      <w:r>
        <w:rPr>
          <w:rFonts w:ascii="仿宋" w:hAnsi="仿宋" w:eastAsia="仿宋"/>
          <w:sz w:val="28"/>
          <w:szCs w:val="28"/>
        </w:rPr>
        <w:t>0%，老采购商重复到场率超过70%，参展企业重复参展率超过</w:t>
      </w:r>
      <w:r>
        <w:rPr>
          <w:rFonts w:hint="eastAsia" w:ascii="仿宋" w:hAnsi="仿宋" w:eastAsia="仿宋"/>
          <w:sz w:val="28"/>
          <w:szCs w:val="28"/>
        </w:rPr>
        <w:t>7</w:t>
      </w:r>
      <w:r>
        <w:rPr>
          <w:rFonts w:ascii="仿宋" w:hAnsi="仿宋" w:eastAsia="仿宋"/>
          <w:sz w:val="28"/>
          <w:szCs w:val="28"/>
        </w:rPr>
        <w:t>5%，大部分参展企业表示参展效果明显，每届展会均有越南胡志明总领馆、越南工贸部、</w:t>
      </w:r>
      <w:r>
        <w:rPr>
          <w:rFonts w:hint="eastAsia" w:ascii="仿宋" w:hAnsi="仿宋" w:eastAsia="仿宋"/>
          <w:sz w:val="28"/>
          <w:szCs w:val="28"/>
        </w:rPr>
        <w:t>V</w:t>
      </w:r>
      <w:r>
        <w:rPr>
          <w:rFonts w:ascii="仿宋" w:hAnsi="仿宋" w:eastAsia="仿宋"/>
          <w:sz w:val="28"/>
          <w:szCs w:val="28"/>
        </w:rPr>
        <w:t>CCI越南国家工商会等政府部门，以及当地权威电视台等媒体到场，在当地形成良好的品牌与口碑。</w:t>
      </w:r>
    </w:p>
    <w:p w14:paraId="5084677C">
      <w:pPr>
        <w:pStyle w:val="10"/>
        <w:numPr>
          <w:ilvl w:val="1"/>
          <w:numId w:val="1"/>
        </w:numPr>
        <w:ind w:firstLineChars="0"/>
        <w:rPr>
          <w:rFonts w:hint="eastAsia" w:ascii="仿宋" w:hAnsi="仿宋" w:eastAsia="仿宋"/>
          <w:sz w:val="28"/>
          <w:szCs w:val="28"/>
        </w:rPr>
      </w:pPr>
      <w:r>
        <w:rPr>
          <w:rFonts w:ascii="仿宋" w:hAnsi="仿宋" w:eastAsia="仿宋"/>
          <w:b/>
          <w:sz w:val="28"/>
          <w:szCs w:val="28"/>
        </w:rPr>
        <w:t>越南实体采销中心为参展企业提供长期服务：</w:t>
      </w:r>
      <w:r>
        <w:rPr>
          <w:rFonts w:ascii="仿宋" w:hAnsi="仿宋" w:eastAsia="仿宋"/>
          <w:sz w:val="28"/>
          <w:szCs w:val="28"/>
        </w:rPr>
        <w:t>侨交会与越南中越中电子城（越南华强北）合作的侨交会越南采销中心长期为参展企业提供展品展示、采购商开发、市场推广、共享办公室、翻译、贸易撮合、跨境电商等服务，放大展会效果，为企业提供长久的服务，大部分前两届参展企业都选择在展会结束之后，将产品放到侨交会海外采销中心，其中不少企业取得的成效。</w:t>
      </w:r>
    </w:p>
    <w:p w14:paraId="0282DC10">
      <w:pPr>
        <w:pStyle w:val="10"/>
        <w:numPr>
          <w:ilvl w:val="1"/>
          <w:numId w:val="1"/>
        </w:numPr>
        <w:ind w:firstLineChars="0"/>
        <w:rPr>
          <w:rFonts w:hint="eastAsia" w:ascii="仿宋" w:hAnsi="仿宋" w:eastAsia="仿宋"/>
          <w:sz w:val="28"/>
          <w:szCs w:val="28"/>
        </w:rPr>
      </w:pPr>
      <w:r>
        <w:rPr>
          <w:rFonts w:ascii="仿宋" w:hAnsi="仿宋" w:eastAsia="仿宋"/>
          <w:b/>
          <w:bCs/>
          <w:sz w:val="28"/>
          <w:szCs w:val="28"/>
        </w:rPr>
        <w:t>一揽子商旅服务</w:t>
      </w:r>
      <w:r>
        <w:rPr>
          <w:rFonts w:hint="eastAsia" w:ascii="仿宋" w:hAnsi="仿宋" w:eastAsia="仿宋"/>
          <w:b/>
          <w:bCs/>
          <w:sz w:val="28"/>
          <w:szCs w:val="28"/>
        </w:rPr>
        <w:t>：</w:t>
      </w:r>
      <w:r>
        <w:rPr>
          <w:rFonts w:hint="eastAsia" w:ascii="仿宋" w:hAnsi="仿宋" w:eastAsia="仿宋"/>
          <w:sz w:val="28"/>
          <w:szCs w:val="28"/>
        </w:rPr>
        <w:t>为参展企业提供全面全程一条龙服务，涵盖签证办理、物流安排、交通与食宿的预订，以及展期内的翻译服务和宣传物料的准备，为企业解除后顾之忧，专注于与海外采购商的合作对接上。</w:t>
      </w:r>
    </w:p>
    <w:p w14:paraId="71410762">
      <w:pPr>
        <w:pStyle w:val="10"/>
        <w:numPr>
          <w:ilvl w:val="1"/>
          <w:numId w:val="1"/>
        </w:numPr>
        <w:ind w:firstLineChars="0"/>
        <w:rPr>
          <w:rFonts w:hint="eastAsia" w:ascii="仿宋" w:hAnsi="仿宋" w:eastAsia="仿宋"/>
          <w:sz w:val="28"/>
          <w:szCs w:val="28"/>
        </w:rPr>
      </w:pPr>
      <w:r>
        <w:rPr>
          <w:rFonts w:ascii="仿宋" w:hAnsi="仿宋" w:eastAsia="仿宋"/>
          <w:b/>
          <w:bCs/>
          <w:sz w:val="28"/>
          <w:szCs w:val="28"/>
        </w:rPr>
        <w:t>深度商务考察与展会同期经贸活动：</w:t>
      </w:r>
      <w:r>
        <w:rPr>
          <w:rFonts w:ascii="仿宋" w:hAnsi="仿宋" w:eastAsia="仿宋"/>
          <w:bCs/>
          <w:sz w:val="28"/>
          <w:szCs w:val="28"/>
        </w:rPr>
        <w:t>侨交会在越南有丰富的华人华侨资源、当地政商资源，因此在每届展会同期，都能组织高规格的开幕式、经贸活动和商务考察，除了为参展企业带来采购商之外，还有越南政府相关机构解读最新发展政策、长期商业合作资源，助力参展企业快速了解和融入越南市场。</w:t>
      </w:r>
    </w:p>
    <w:p w14:paraId="66C535EF">
      <w:pPr>
        <w:pStyle w:val="10"/>
        <w:numPr>
          <w:ilvl w:val="0"/>
          <w:numId w:val="1"/>
        </w:numPr>
        <w:spacing w:before="156" w:beforeLines="50"/>
        <w:ind w:firstLineChars="0"/>
        <w:rPr>
          <w:rFonts w:hint="eastAsia" w:ascii="黑体" w:hAnsi="黑体" w:eastAsia="黑体"/>
          <w:b/>
          <w:sz w:val="28"/>
          <w:szCs w:val="28"/>
        </w:rPr>
      </w:pPr>
      <w:r>
        <w:rPr>
          <w:rFonts w:ascii="黑体" w:hAnsi="黑体" w:eastAsia="黑体"/>
          <w:b/>
          <w:sz w:val="28"/>
          <w:szCs w:val="28"/>
        </w:rPr>
        <w:t>历届展商及评价</w:t>
      </w:r>
    </w:p>
    <w:p w14:paraId="36B301FE">
      <w:pPr>
        <w:pStyle w:val="10"/>
        <w:numPr>
          <w:ilvl w:val="1"/>
          <w:numId w:val="1"/>
        </w:numPr>
        <w:ind w:firstLineChars="0"/>
        <w:rPr>
          <w:rFonts w:hint="eastAsia" w:ascii="仿宋" w:hAnsi="仿宋" w:eastAsia="仿宋"/>
          <w:b/>
          <w:sz w:val="28"/>
          <w:szCs w:val="28"/>
        </w:rPr>
      </w:pPr>
      <w:r>
        <w:rPr>
          <w:rFonts w:ascii="仿宋" w:hAnsi="仿宋" w:eastAsia="仿宋"/>
          <w:b/>
          <w:sz w:val="28"/>
          <w:szCs w:val="28"/>
        </w:rPr>
        <w:t>参展企业来源</w:t>
      </w:r>
    </w:p>
    <w:p w14:paraId="0C6043E5">
      <w:pPr>
        <w:pStyle w:val="10"/>
        <w:numPr>
          <w:ilvl w:val="2"/>
          <w:numId w:val="1"/>
        </w:numPr>
        <w:ind w:firstLineChars="0"/>
        <w:rPr>
          <w:rFonts w:hint="eastAsia" w:ascii="仿宋" w:hAnsi="仿宋" w:eastAsia="仿宋"/>
          <w:sz w:val="28"/>
          <w:szCs w:val="28"/>
        </w:rPr>
      </w:pPr>
      <w:r>
        <w:rPr>
          <w:rFonts w:ascii="仿宋" w:hAnsi="仿宋" w:eastAsia="仿宋"/>
          <w:sz w:val="28"/>
          <w:szCs w:val="28"/>
        </w:rPr>
        <w:t>中国企业占比：68%</w:t>
      </w:r>
    </w:p>
    <w:p w14:paraId="64195AC4">
      <w:pPr>
        <w:pStyle w:val="10"/>
        <w:numPr>
          <w:ilvl w:val="2"/>
          <w:numId w:val="1"/>
        </w:numPr>
        <w:ind w:firstLineChars="0"/>
        <w:rPr>
          <w:rFonts w:hint="eastAsia" w:ascii="仿宋" w:hAnsi="仿宋" w:eastAsia="仿宋"/>
          <w:sz w:val="28"/>
          <w:szCs w:val="28"/>
        </w:rPr>
      </w:pPr>
      <w:r>
        <w:rPr>
          <w:rFonts w:ascii="仿宋" w:hAnsi="仿宋" w:eastAsia="仿宋"/>
          <w:sz w:val="28"/>
          <w:szCs w:val="28"/>
        </w:rPr>
        <w:t>越南企业占比：</w:t>
      </w:r>
      <w:r>
        <w:rPr>
          <w:rFonts w:hint="eastAsia" w:ascii="仿宋" w:hAnsi="仿宋" w:eastAsia="仿宋"/>
          <w:sz w:val="28"/>
          <w:szCs w:val="28"/>
        </w:rPr>
        <w:t>2</w:t>
      </w:r>
      <w:r>
        <w:rPr>
          <w:rFonts w:ascii="仿宋" w:hAnsi="仿宋" w:eastAsia="仿宋"/>
          <w:sz w:val="28"/>
          <w:szCs w:val="28"/>
        </w:rPr>
        <w:t>3%</w:t>
      </w:r>
    </w:p>
    <w:p w14:paraId="3BBC0258">
      <w:pPr>
        <w:pStyle w:val="10"/>
        <w:numPr>
          <w:ilvl w:val="2"/>
          <w:numId w:val="1"/>
        </w:numPr>
        <w:ind w:firstLineChars="0"/>
        <w:rPr>
          <w:rFonts w:hint="eastAsia" w:ascii="仿宋" w:hAnsi="仿宋" w:eastAsia="仿宋"/>
          <w:sz w:val="28"/>
          <w:szCs w:val="28"/>
        </w:rPr>
      </w:pPr>
      <w:r>
        <w:rPr>
          <w:rFonts w:ascii="仿宋" w:hAnsi="仿宋" w:eastAsia="仿宋"/>
          <w:sz w:val="28"/>
          <w:szCs w:val="28"/>
        </w:rPr>
        <w:t>日本、韩国、新加坡、法国等其他国家企业占比：</w:t>
      </w:r>
      <w:r>
        <w:rPr>
          <w:rFonts w:hint="eastAsia" w:ascii="仿宋" w:hAnsi="仿宋" w:eastAsia="仿宋"/>
          <w:sz w:val="28"/>
          <w:szCs w:val="28"/>
        </w:rPr>
        <w:t>9</w:t>
      </w:r>
      <w:r>
        <w:rPr>
          <w:rFonts w:ascii="仿宋" w:hAnsi="仿宋" w:eastAsia="仿宋"/>
          <w:sz w:val="28"/>
          <w:szCs w:val="28"/>
        </w:rPr>
        <w:t>%</w:t>
      </w:r>
    </w:p>
    <w:p w14:paraId="36B2CE73">
      <w:pPr>
        <w:pStyle w:val="10"/>
        <w:numPr>
          <w:ilvl w:val="1"/>
          <w:numId w:val="1"/>
        </w:numPr>
        <w:ind w:firstLineChars="0"/>
        <w:rPr>
          <w:rFonts w:hint="eastAsia" w:ascii="仿宋" w:hAnsi="仿宋" w:eastAsia="仿宋"/>
          <w:b/>
          <w:sz w:val="28"/>
          <w:szCs w:val="28"/>
        </w:rPr>
      </w:pPr>
      <w:r>
        <w:rPr>
          <w:rFonts w:ascii="仿宋" w:hAnsi="仿宋" w:eastAsia="仿宋"/>
          <w:b/>
          <w:sz w:val="28"/>
          <w:szCs w:val="28"/>
        </w:rPr>
        <w:t>历届展商代表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1890"/>
        <w:gridCol w:w="2258"/>
        <w:gridCol w:w="2074"/>
      </w:tblGrid>
      <w:tr w14:paraId="103F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296" w:type="dxa"/>
            <w:gridSpan w:val="4"/>
          </w:tcPr>
          <w:p w14:paraId="04A6DB83">
            <w:pPr>
              <w:jc w:val="center"/>
              <w:rPr>
                <w:rFonts w:hint="eastAsia" w:ascii="仿宋" w:hAnsi="仿宋" w:eastAsia="仿宋"/>
                <w:b/>
                <w:sz w:val="24"/>
                <w:szCs w:val="24"/>
              </w:rPr>
            </w:pPr>
            <w:r>
              <w:rPr>
                <w:rFonts w:hint="eastAsia" w:ascii="仿宋" w:hAnsi="仿宋" w:eastAsia="仿宋"/>
                <w:b/>
                <w:sz w:val="24"/>
                <w:szCs w:val="24"/>
              </w:rPr>
              <w:t>消费电子</w:t>
            </w:r>
          </w:p>
        </w:tc>
      </w:tr>
      <w:tr w14:paraId="207F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7C96436F">
            <w:pPr>
              <w:rPr>
                <w:rFonts w:hint="eastAsia" w:ascii="仿宋" w:hAnsi="仿宋" w:eastAsia="仿宋"/>
                <w:szCs w:val="21"/>
              </w:rPr>
            </w:pPr>
            <w:r>
              <w:rPr>
                <w:rFonts w:hint="eastAsia" w:ascii="仿宋" w:hAnsi="仿宋" w:eastAsia="仿宋"/>
                <w:szCs w:val="21"/>
              </w:rPr>
              <w:t>T</w:t>
            </w:r>
            <w:r>
              <w:rPr>
                <w:rFonts w:ascii="仿宋" w:hAnsi="仿宋" w:eastAsia="仿宋"/>
                <w:szCs w:val="21"/>
              </w:rPr>
              <w:t>CL</w:t>
            </w:r>
          </w:p>
        </w:tc>
        <w:tc>
          <w:tcPr>
            <w:tcW w:w="1890" w:type="dxa"/>
          </w:tcPr>
          <w:p w14:paraId="2BA5EA18">
            <w:pPr>
              <w:rPr>
                <w:rFonts w:hint="eastAsia" w:ascii="仿宋" w:hAnsi="仿宋" w:eastAsia="仿宋"/>
                <w:szCs w:val="21"/>
              </w:rPr>
            </w:pPr>
            <w:r>
              <w:rPr>
                <w:rFonts w:hint="eastAsia" w:ascii="仿宋" w:hAnsi="仿宋" w:eastAsia="仿宋"/>
                <w:szCs w:val="21"/>
              </w:rPr>
              <w:t>小熊电器</w:t>
            </w:r>
          </w:p>
        </w:tc>
        <w:tc>
          <w:tcPr>
            <w:tcW w:w="2258" w:type="dxa"/>
          </w:tcPr>
          <w:p w14:paraId="17125C6F">
            <w:pPr>
              <w:rPr>
                <w:rFonts w:hint="eastAsia" w:ascii="仿宋" w:hAnsi="仿宋" w:eastAsia="仿宋"/>
                <w:szCs w:val="21"/>
              </w:rPr>
            </w:pPr>
            <w:r>
              <w:rPr>
                <w:rFonts w:hint="eastAsia" w:ascii="仿宋" w:hAnsi="仿宋" w:eastAsia="仿宋"/>
                <w:szCs w:val="21"/>
              </w:rPr>
              <w:t>追觅</w:t>
            </w:r>
          </w:p>
        </w:tc>
        <w:tc>
          <w:tcPr>
            <w:tcW w:w="2074" w:type="dxa"/>
          </w:tcPr>
          <w:p w14:paraId="3670CD44">
            <w:pPr>
              <w:rPr>
                <w:rFonts w:hint="eastAsia" w:ascii="仿宋" w:hAnsi="仿宋" w:eastAsia="仿宋"/>
                <w:szCs w:val="21"/>
              </w:rPr>
            </w:pPr>
            <w:r>
              <w:rPr>
                <w:rFonts w:hint="eastAsia" w:ascii="仿宋" w:hAnsi="仿宋" w:eastAsia="仿宋"/>
                <w:szCs w:val="21"/>
              </w:rPr>
              <w:t>公牛</w:t>
            </w:r>
          </w:p>
        </w:tc>
      </w:tr>
      <w:tr w14:paraId="3534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5479591A">
            <w:pPr>
              <w:rPr>
                <w:rFonts w:hint="eastAsia" w:ascii="仿宋" w:hAnsi="仿宋" w:eastAsia="仿宋"/>
                <w:szCs w:val="21"/>
              </w:rPr>
            </w:pPr>
            <w:r>
              <w:rPr>
                <w:rFonts w:hint="eastAsia" w:ascii="仿宋" w:hAnsi="仿宋" w:eastAsia="仿宋"/>
                <w:szCs w:val="21"/>
              </w:rPr>
              <w:t>华南英才</w:t>
            </w:r>
          </w:p>
        </w:tc>
        <w:tc>
          <w:tcPr>
            <w:tcW w:w="1890" w:type="dxa"/>
          </w:tcPr>
          <w:p w14:paraId="4E5C1BA0">
            <w:pPr>
              <w:rPr>
                <w:rFonts w:hint="eastAsia" w:ascii="仿宋" w:hAnsi="仿宋" w:eastAsia="仿宋"/>
                <w:szCs w:val="21"/>
              </w:rPr>
            </w:pPr>
            <w:r>
              <w:rPr>
                <w:rFonts w:hint="eastAsia" w:ascii="仿宋" w:hAnsi="仿宋" w:eastAsia="仿宋"/>
                <w:szCs w:val="21"/>
              </w:rPr>
              <w:t>高巨创新</w:t>
            </w:r>
          </w:p>
        </w:tc>
        <w:tc>
          <w:tcPr>
            <w:tcW w:w="2258" w:type="dxa"/>
          </w:tcPr>
          <w:p w14:paraId="3E9CB985">
            <w:pPr>
              <w:rPr>
                <w:rFonts w:hint="eastAsia" w:ascii="仿宋" w:hAnsi="仿宋" w:eastAsia="仿宋"/>
                <w:szCs w:val="21"/>
              </w:rPr>
            </w:pPr>
            <w:r>
              <w:rPr>
                <w:rFonts w:hint="eastAsia" w:ascii="仿宋" w:hAnsi="仿宋" w:eastAsia="仿宋"/>
                <w:szCs w:val="21"/>
              </w:rPr>
              <w:t>盛天龙</w:t>
            </w:r>
          </w:p>
        </w:tc>
        <w:tc>
          <w:tcPr>
            <w:tcW w:w="2074" w:type="dxa"/>
          </w:tcPr>
          <w:p w14:paraId="1D85E87A">
            <w:pPr>
              <w:rPr>
                <w:rFonts w:hint="eastAsia" w:ascii="仿宋" w:hAnsi="仿宋" w:eastAsia="仿宋"/>
                <w:szCs w:val="21"/>
              </w:rPr>
            </w:pPr>
            <w:r>
              <w:rPr>
                <w:rFonts w:hint="eastAsia" w:ascii="仿宋" w:hAnsi="仿宋" w:eastAsia="仿宋"/>
                <w:szCs w:val="21"/>
              </w:rPr>
              <w:t>通恒伟创</w:t>
            </w:r>
          </w:p>
        </w:tc>
      </w:tr>
      <w:tr w14:paraId="1143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14:paraId="34DCAF75">
            <w:pPr>
              <w:jc w:val="center"/>
              <w:rPr>
                <w:rFonts w:hint="eastAsia" w:ascii="仿宋" w:hAnsi="仿宋" w:eastAsia="仿宋"/>
                <w:sz w:val="24"/>
                <w:szCs w:val="24"/>
              </w:rPr>
            </w:pPr>
            <w:r>
              <w:rPr>
                <w:rFonts w:hint="eastAsia" w:ascii="仿宋" w:hAnsi="仿宋" w:eastAsia="仿宋"/>
                <w:b/>
                <w:sz w:val="24"/>
                <w:szCs w:val="24"/>
              </w:rPr>
              <w:t>智能家居、智慧办公</w:t>
            </w:r>
          </w:p>
        </w:tc>
      </w:tr>
      <w:tr w14:paraId="0035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772AE282">
            <w:pPr>
              <w:rPr>
                <w:rFonts w:hint="eastAsia" w:ascii="仿宋" w:hAnsi="仿宋" w:eastAsia="仿宋"/>
                <w:szCs w:val="21"/>
              </w:rPr>
            </w:pPr>
            <w:bookmarkStart w:id="0" w:name="OLE_LINK2" w:colFirst="0" w:colLast="3"/>
            <w:r>
              <w:rPr>
                <w:rFonts w:hint="eastAsia" w:ascii="仿宋" w:hAnsi="仿宋" w:eastAsia="仿宋"/>
                <w:szCs w:val="21"/>
              </w:rPr>
              <w:t>金莱特</w:t>
            </w:r>
          </w:p>
        </w:tc>
        <w:tc>
          <w:tcPr>
            <w:tcW w:w="1890" w:type="dxa"/>
          </w:tcPr>
          <w:p w14:paraId="434090DC">
            <w:pPr>
              <w:rPr>
                <w:rFonts w:hint="eastAsia" w:ascii="仿宋" w:hAnsi="仿宋" w:eastAsia="仿宋"/>
                <w:szCs w:val="21"/>
              </w:rPr>
            </w:pPr>
            <w:r>
              <w:rPr>
                <w:rFonts w:hint="eastAsia" w:ascii="仿宋" w:hAnsi="仿宋" w:eastAsia="仿宋"/>
                <w:szCs w:val="21"/>
              </w:rPr>
              <w:t>维尔科技</w:t>
            </w:r>
          </w:p>
        </w:tc>
        <w:tc>
          <w:tcPr>
            <w:tcW w:w="2258" w:type="dxa"/>
          </w:tcPr>
          <w:p w14:paraId="1F0216AD">
            <w:pPr>
              <w:rPr>
                <w:rFonts w:hint="eastAsia" w:ascii="仿宋" w:hAnsi="仿宋" w:eastAsia="仿宋"/>
                <w:szCs w:val="21"/>
              </w:rPr>
            </w:pPr>
            <w:r>
              <w:rPr>
                <w:rFonts w:hint="eastAsia" w:ascii="仿宋" w:hAnsi="仿宋" w:eastAsia="仿宋"/>
                <w:szCs w:val="21"/>
              </w:rPr>
              <w:t>夏单科技</w:t>
            </w:r>
          </w:p>
        </w:tc>
        <w:tc>
          <w:tcPr>
            <w:tcW w:w="2074" w:type="dxa"/>
          </w:tcPr>
          <w:p w14:paraId="2E2C9AA7">
            <w:pPr>
              <w:rPr>
                <w:rFonts w:hint="eastAsia" w:ascii="仿宋" w:hAnsi="仿宋" w:eastAsia="仿宋"/>
                <w:szCs w:val="21"/>
              </w:rPr>
            </w:pPr>
            <w:r>
              <w:rPr>
                <w:rFonts w:hint="eastAsia" w:ascii="仿宋" w:hAnsi="仿宋" w:eastAsia="仿宋"/>
                <w:szCs w:val="21"/>
              </w:rPr>
              <w:t>图美客</w:t>
            </w:r>
          </w:p>
        </w:tc>
      </w:tr>
      <w:tr w14:paraId="79C7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074" w:type="dxa"/>
          </w:tcPr>
          <w:p w14:paraId="2B32DE67">
            <w:pPr>
              <w:rPr>
                <w:rFonts w:hint="eastAsia" w:ascii="仿宋" w:hAnsi="仿宋" w:eastAsia="仿宋"/>
                <w:szCs w:val="21"/>
              </w:rPr>
            </w:pPr>
            <w:r>
              <w:rPr>
                <w:rFonts w:hint="eastAsia" w:ascii="仿宋" w:hAnsi="仿宋" w:eastAsia="仿宋"/>
                <w:szCs w:val="21"/>
              </w:rPr>
              <w:t>贝仕达克</w:t>
            </w:r>
          </w:p>
        </w:tc>
        <w:tc>
          <w:tcPr>
            <w:tcW w:w="1890" w:type="dxa"/>
          </w:tcPr>
          <w:p w14:paraId="598AD149">
            <w:pPr>
              <w:rPr>
                <w:rFonts w:hint="eastAsia" w:ascii="仿宋" w:hAnsi="仿宋" w:eastAsia="仿宋"/>
                <w:szCs w:val="21"/>
              </w:rPr>
            </w:pPr>
            <w:r>
              <w:rPr>
                <w:rFonts w:hint="eastAsia" w:ascii="仿宋" w:hAnsi="仿宋" w:eastAsia="仿宋"/>
                <w:szCs w:val="21"/>
              </w:rPr>
              <w:t>中银科技</w:t>
            </w:r>
          </w:p>
        </w:tc>
        <w:tc>
          <w:tcPr>
            <w:tcW w:w="2258" w:type="dxa"/>
          </w:tcPr>
          <w:p w14:paraId="3D8BCAC4">
            <w:pPr>
              <w:rPr>
                <w:rFonts w:hint="eastAsia" w:ascii="仿宋" w:hAnsi="仿宋" w:eastAsia="仿宋"/>
                <w:szCs w:val="21"/>
              </w:rPr>
            </w:pPr>
            <w:r>
              <w:rPr>
                <w:rFonts w:hint="eastAsia" w:ascii="仿宋" w:hAnsi="仿宋" w:eastAsia="仿宋"/>
                <w:szCs w:val="21"/>
              </w:rPr>
              <w:t>华科创智</w:t>
            </w:r>
          </w:p>
        </w:tc>
        <w:tc>
          <w:tcPr>
            <w:tcW w:w="2074" w:type="dxa"/>
          </w:tcPr>
          <w:p w14:paraId="36EE9499">
            <w:pPr>
              <w:rPr>
                <w:rFonts w:hint="eastAsia" w:ascii="仿宋" w:hAnsi="仿宋" w:eastAsia="仿宋"/>
                <w:szCs w:val="21"/>
              </w:rPr>
            </w:pPr>
            <w:r>
              <w:rPr>
                <w:rFonts w:hint="eastAsia" w:ascii="仿宋" w:hAnsi="仿宋" w:eastAsia="仿宋"/>
                <w:szCs w:val="21"/>
              </w:rPr>
              <w:t>小未科技</w:t>
            </w:r>
          </w:p>
        </w:tc>
      </w:tr>
      <w:bookmarkEnd w:id="0"/>
      <w:tr w14:paraId="0464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14:paraId="7830D4E9">
            <w:pPr>
              <w:jc w:val="center"/>
              <w:rPr>
                <w:rFonts w:hint="eastAsia" w:ascii="仿宋" w:hAnsi="仿宋" w:eastAsia="仿宋"/>
                <w:b/>
                <w:sz w:val="24"/>
                <w:szCs w:val="24"/>
              </w:rPr>
            </w:pPr>
            <w:r>
              <w:rPr>
                <w:rFonts w:hint="eastAsia" w:ascii="仿宋" w:hAnsi="仿宋" w:eastAsia="仿宋"/>
                <w:b/>
                <w:sz w:val="24"/>
                <w:szCs w:val="24"/>
              </w:rPr>
              <w:t>移动通讯、智能化解决方案</w:t>
            </w:r>
          </w:p>
        </w:tc>
      </w:tr>
      <w:tr w14:paraId="2890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2E5CD5E4">
            <w:pPr>
              <w:rPr>
                <w:rFonts w:hint="eastAsia" w:ascii="仿宋" w:hAnsi="仿宋" w:eastAsia="仿宋"/>
                <w:szCs w:val="21"/>
              </w:rPr>
            </w:pPr>
            <w:bookmarkStart w:id="1" w:name="OLE_LINK3" w:colFirst="0" w:colLast="3"/>
            <w:r>
              <w:rPr>
                <w:rFonts w:hint="eastAsia" w:ascii="仿宋" w:hAnsi="仿宋" w:eastAsia="仿宋"/>
                <w:szCs w:val="21"/>
              </w:rPr>
              <w:t>阿里云</w:t>
            </w:r>
          </w:p>
        </w:tc>
        <w:tc>
          <w:tcPr>
            <w:tcW w:w="1890" w:type="dxa"/>
          </w:tcPr>
          <w:p w14:paraId="3A8661FF">
            <w:pPr>
              <w:rPr>
                <w:rFonts w:hint="eastAsia" w:ascii="仿宋" w:hAnsi="仿宋" w:eastAsia="仿宋"/>
                <w:szCs w:val="21"/>
              </w:rPr>
            </w:pPr>
            <w:r>
              <w:rPr>
                <w:rFonts w:hint="eastAsia" w:ascii="仿宋" w:hAnsi="仿宋" w:eastAsia="仿宋"/>
                <w:szCs w:val="21"/>
              </w:rPr>
              <w:t>中国移动（越南）</w:t>
            </w:r>
          </w:p>
        </w:tc>
        <w:tc>
          <w:tcPr>
            <w:tcW w:w="2258" w:type="dxa"/>
          </w:tcPr>
          <w:p w14:paraId="506A4921">
            <w:pPr>
              <w:rPr>
                <w:rFonts w:hint="eastAsia" w:ascii="仿宋" w:hAnsi="仿宋" w:eastAsia="仿宋"/>
                <w:szCs w:val="21"/>
              </w:rPr>
            </w:pPr>
            <w:r>
              <w:rPr>
                <w:rFonts w:hint="eastAsia" w:ascii="仿宋" w:hAnsi="仿宋" w:eastAsia="仿宋"/>
                <w:szCs w:val="21"/>
              </w:rPr>
              <w:t>海能达</w:t>
            </w:r>
          </w:p>
        </w:tc>
        <w:tc>
          <w:tcPr>
            <w:tcW w:w="2074" w:type="dxa"/>
          </w:tcPr>
          <w:p w14:paraId="18845A7F">
            <w:pPr>
              <w:rPr>
                <w:rFonts w:hint="eastAsia" w:ascii="仿宋" w:hAnsi="仿宋" w:eastAsia="仿宋"/>
                <w:szCs w:val="21"/>
              </w:rPr>
            </w:pPr>
            <w:r>
              <w:rPr>
                <w:rFonts w:hint="eastAsia" w:ascii="仿宋" w:hAnsi="仿宋" w:eastAsia="仿宋"/>
                <w:szCs w:val="21"/>
              </w:rPr>
              <w:t>涂鸦智能</w:t>
            </w:r>
          </w:p>
        </w:tc>
      </w:tr>
      <w:tr w14:paraId="0604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490BE339">
            <w:pPr>
              <w:rPr>
                <w:rFonts w:hint="eastAsia" w:ascii="仿宋" w:hAnsi="仿宋" w:eastAsia="仿宋"/>
                <w:szCs w:val="21"/>
              </w:rPr>
            </w:pPr>
            <w:r>
              <w:rPr>
                <w:rFonts w:hint="eastAsia" w:ascii="仿宋" w:hAnsi="仿宋" w:eastAsia="仿宋"/>
                <w:szCs w:val="21"/>
              </w:rPr>
              <w:t>朗科智能</w:t>
            </w:r>
          </w:p>
        </w:tc>
        <w:tc>
          <w:tcPr>
            <w:tcW w:w="1890" w:type="dxa"/>
          </w:tcPr>
          <w:p w14:paraId="6818D9E5">
            <w:pPr>
              <w:rPr>
                <w:rFonts w:hint="eastAsia" w:ascii="仿宋" w:hAnsi="仿宋" w:eastAsia="仿宋"/>
                <w:szCs w:val="21"/>
              </w:rPr>
            </w:pPr>
            <w:r>
              <w:rPr>
                <w:rFonts w:hint="eastAsia" w:ascii="仿宋" w:hAnsi="仿宋" w:eastAsia="仿宋"/>
                <w:szCs w:val="21"/>
              </w:rPr>
              <w:t>红门</w:t>
            </w:r>
          </w:p>
        </w:tc>
        <w:tc>
          <w:tcPr>
            <w:tcW w:w="2258" w:type="dxa"/>
          </w:tcPr>
          <w:p w14:paraId="1C6C1E61">
            <w:pPr>
              <w:rPr>
                <w:rFonts w:hint="eastAsia" w:ascii="仿宋" w:hAnsi="仿宋" w:eastAsia="仿宋"/>
                <w:szCs w:val="21"/>
              </w:rPr>
            </w:pPr>
            <w:r>
              <w:rPr>
                <w:rFonts w:ascii="仿宋" w:hAnsi="仿宋" w:eastAsia="仿宋"/>
                <w:szCs w:val="21"/>
              </w:rPr>
              <w:t>拓普泰克</w:t>
            </w:r>
          </w:p>
        </w:tc>
        <w:tc>
          <w:tcPr>
            <w:tcW w:w="2074" w:type="dxa"/>
          </w:tcPr>
          <w:p w14:paraId="7AD63033">
            <w:pPr>
              <w:rPr>
                <w:rFonts w:hint="eastAsia" w:ascii="仿宋" w:hAnsi="仿宋" w:eastAsia="仿宋"/>
                <w:szCs w:val="21"/>
              </w:rPr>
            </w:pPr>
            <w:r>
              <w:rPr>
                <w:rFonts w:hint="eastAsia" w:ascii="仿宋" w:hAnsi="仿宋" w:eastAsia="仿宋"/>
                <w:szCs w:val="21"/>
              </w:rPr>
              <w:t>优克联</w:t>
            </w:r>
          </w:p>
        </w:tc>
      </w:tr>
      <w:bookmarkEnd w:id="1"/>
      <w:tr w14:paraId="09FE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296" w:type="dxa"/>
            <w:gridSpan w:val="4"/>
          </w:tcPr>
          <w:p w14:paraId="62A25E06">
            <w:pPr>
              <w:jc w:val="center"/>
              <w:rPr>
                <w:rFonts w:hint="eastAsia" w:ascii="仿宋" w:hAnsi="仿宋" w:eastAsia="仿宋"/>
                <w:b/>
                <w:sz w:val="24"/>
                <w:szCs w:val="24"/>
              </w:rPr>
            </w:pPr>
            <w:r>
              <w:rPr>
                <w:rFonts w:hint="eastAsia" w:ascii="仿宋" w:hAnsi="仿宋" w:eastAsia="仿宋"/>
                <w:b/>
                <w:sz w:val="24"/>
                <w:szCs w:val="24"/>
              </w:rPr>
              <w:t>跨境电商</w:t>
            </w:r>
          </w:p>
        </w:tc>
      </w:tr>
      <w:tr w14:paraId="2E1B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7122894C">
            <w:pPr>
              <w:rPr>
                <w:rFonts w:hint="eastAsia" w:ascii="仿宋" w:hAnsi="仿宋" w:eastAsia="仿宋"/>
                <w:szCs w:val="21"/>
              </w:rPr>
            </w:pPr>
            <w:bookmarkStart w:id="2" w:name="OLE_LINK4" w:colFirst="0" w:colLast="3"/>
            <w:bookmarkStart w:id="3" w:name="OLE_LINK1" w:colFirst="0" w:colLast="3"/>
            <w:r>
              <w:rPr>
                <w:rFonts w:hint="eastAsia" w:ascii="仿宋" w:hAnsi="仿宋" w:eastAsia="仿宋"/>
                <w:szCs w:val="21"/>
              </w:rPr>
              <w:t>TikTok（越南）</w:t>
            </w:r>
          </w:p>
        </w:tc>
        <w:tc>
          <w:tcPr>
            <w:tcW w:w="1890" w:type="dxa"/>
          </w:tcPr>
          <w:p w14:paraId="54FA27FD">
            <w:pPr>
              <w:rPr>
                <w:rFonts w:hint="eastAsia" w:ascii="仿宋" w:hAnsi="仿宋" w:eastAsia="仿宋"/>
                <w:szCs w:val="21"/>
              </w:rPr>
            </w:pPr>
            <w:r>
              <w:rPr>
                <w:rFonts w:hint="eastAsia" w:ascii="仿宋" w:hAnsi="仿宋" w:eastAsia="仿宋"/>
                <w:szCs w:val="21"/>
              </w:rPr>
              <w:t>京东（越南）</w:t>
            </w:r>
          </w:p>
        </w:tc>
        <w:tc>
          <w:tcPr>
            <w:tcW w:w="2258" w:type="dxa"/>
          </w:tcPr>
          <w:p w14:paraId="1BDCE6A9">
            <w:pPr>
              <w:rPr>
                <w:rFonts w:hint="eastAsia" w:ascii="仿宋" w:hAnsi="仿宋" w:eastAsia="仿宋"/>
                <w:szCs w:val="21"/>
              </w:rPr>
            </w:pPr>
            <w:r>
              <w:rPr>
                <w:rFonts w:hint="eastAsia" w:ascii="仿宋" w:hAnsi="仿宋" w:eastAsia="仿宋"/>
                <w:szCs w:val="21"/>
              </w:rPr>
              <w:t>Lazada</w:t>
            </w:r>
          </w:p>
        </w:tc>
        <w:tc>
          <w:tcPr>
            <w:tcW w:w="2074" w:type="dxa"/>
          </w:tcPr>
          <w:p w14:paraId="04899B65">
            <w:pPr>
              <w:rPr>
                <w:rFonts w:hint="eastAsia" w:ascii="仿宋" w:hAnsi="仿宋" w:eastAsia="仿宋"/>
                <w:szCs w:val="21"/>
              </w:rPr>
            </w:pPr>
            <w:r>
              <w:rPr>
                <w:rFonts w:ascii="仿宋" w:hAnsi="仿宋" w:eastAsia="仿宋"/>
                <w:szCs w:val="21"/>
              </w:rPr>
              <w:t>程兴泰</w:t>
            </w:r>
          </w:p>
        </w:tc>
      </w:tr>
      <w:tr w14:paraId="4620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60120F73">
            <w:pPr>
              <w:rPr>
                <w:rFonts w:hint="eastAsia" w:ascii="仿宋" w:hAnsi="仿宋" w:eastAsia="仿宋"/>
                <w:szCs w:val="21"/>
              </w:rPr>
            </w:pPr>
            <w:r>
              <w:rPr>
                <w:rFonts w:hint="eastAsia" w:ascii="仿宋" w:hAnsi="仿宋" w:eastAsia="仿宋"/>
                <w:szCs w:val="21"/>
              </w:rPr>
              <w:t>EROC诺客</w:t>
            </w:r>
          </w:p>
        </w:tc>
        <w:tc>
          <w:tcPr>
            <w:tcW w:w="1890" w:type="dxa"/>
          </w:tcPr>
          <w:p w14:paraId="2FE79D99">
            <w:pPr>
              <w:rPr>
                <w:rFonts w:hint="eastAsia" w:ascii="仿宋" w:hAnsi="仿宋" w:eastAsia="仿宋"/>
                <w:szCs w:val="21"/>
              </w:rPr>
            </w:pPr>
            <w:r>
              <w:rPr>
                <w:rFonts w:hint="eastAsia" w:ascii="仿宋" w:hAnsi="仿宋" w:eastAsia="仿宋"/>
                <w:szCs w:val="21"/>
              </w:rPr>
              <w:t>GBROS文化传媒</w:t>
            </w:r>
          </w:p>
        </w:tc>
        <w:tc>
          <w:tcPr>
            <w:tcW w:w="2258" w:type="dxa"/>
          </w:tcPr>
          <w:p w14:paraId="6395C2DB">
            <w:pPr>
              <w:rPr>
                <w:rFonts w:hint="eastAsia" w:ascii="仿宋" w:hAnsi="仿宋" w:eastAsia="仿宋"/>
                <w:szCs w:val="21"/>
              </w:rPr>
            </w:pPr>
            <w:r>
              <w:rPr>
                <w:rFonts w:hint="eastAsia" w:ascii="仿宋" w:hAnsi="仿宋" w:eastAsia="仿宋"/>
                <w:szCs w:val="21"/>
              </w:rPr>
              <w:t>Cybertok 数字营销</w:t>
            </w:r>
          </w:p>
        </w:tc>
        <w:tc>
          <w:tcPr>
            <w:tcW w:w="2074" w:type="dxa"/>
          </w:tcPr>
          <w:p w14:paraId="03614851">
            <w:pPr>
              <w:rPr>
                <w:rFonts w:hint="eastAsia" w:ascii="仿宋" w:hAnsi="仿宋" w:eastAsia="仿宋"/>
                <w:szCs w:val="21"/>
              </w:rPr>
            </w:pPr>
            <w:r>
              <w:rPr>
                <w:rFonts w:hint="eastAsia" w:ascii="仿宋" w:hAnsi="仿宋" w:eastAsia="仿宋"/>
                <w:szCs w:val="21"/>
              </w:rPr>
              <w:t>Hz传媒</w:t>
            </w:r>
          </w:p>
        </w:tc>
      </w:tr>
      <w:bookmarkEnd w:id="2"/>
      <w:bookmarkEnd w:id="3"/>
      <w:tr w14:paraId="6846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296" w:type="dxa"/>
            <w:gridSpan w:val="4"/>
          </w:tcPr>
          <w:p w14:paraId="56FDF902">
            <w:pPr>
              <w:jc w:val="center"/>
              <w:rPr>
                <w:rFonts w:hint="eastAsia" w:ascii="仿宋" w:hAnsi="仿宋" w:eastAsia="仿宋"/>
                <w:b/>
                <w:sz w:val="24"/>
                <w:szCs w:val="24"/>
              </w:rPr>
            </w:pPr>
            <w:r>
              <w:rPr>
                <w:rFonts w:hint="eastAsia" w:ascii="仿宋" w:hAnsi="仿宋" w:eastAsia="仿宋"/>
                <w:b/>
                <w:sz w:val="24"/>
                <w:szCs w:val="24"/>
              </w:rPr>
              <w:t>电子电气</w:t>
            </w:r>
          </w:p>
        </w:tc>
      </w:tr>
      <w:tr w14:paraId="3944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7937EAEC">
            <w:pPr>
              <w:rPr>
                <w:rFonts w:hint="eastAsia" w:ascii="仿宋" w:hAnsi="仿宋" w:eastAsia="仿宋"/>
                <w:szCs w:val="21"/>
              </w:rPr>
            </w:pPr>
            <w:bookmarkStart w:id="4" w:name="OLE_LINK5" w:colFirst="0" w:colLast="3"/>
            <w:r>
              <w:rPr>
                <w:rFonts w:hint="eastAsia" w:ascii="仿宋" w:hAnsi="仿宋" w:eastAsia="仿宋"/>
                <w:szCs w:val="21"/>
              </w:rPr>
              <w:t>兴丰元机电</w:t>
            </w:r>
          </w:p>
        </w:tc>
        <w:tc>
          <w:tcPr>
            <w:tcW w:w="1890" w:type="dxa"/>
          </w:tcPr>
          <w:p w14:paraId="713C46D5">
            <w:pPr>
              <w:rPr>
                <w:rFonts w:hint="eastAsia" w:ascii="仿宋" w:hAnsi="仿宋" w:eastAsia="仿宋"/>
                <w:szCs w:val="21"/>
              </w:rPr>
            </w:pPr>
            <w:r>
              <w:rPr>
                <w:rFonts w:hint="eastAsia" w:ascii="仿宋" w:hAnsi="仿宋" w:eastAsia="仿宋"/>
                <w:szCs w:val="21"/>
              </w:rPr>
              <w:t>卓亚科电子</w:t>
            </w:r>
          </w:p>
        </w:tc>
        <w:tc>
          <w:tcPr>
            <w:tcW w:w="2258" w:type="dxa"/>
          </w:tcPr>
          <w:p w14:paraId="3076572F">
            <w:pPr>
              <w:rPr>
                <w:rFonts w:hint="eastAsia" w:ascii="仿宋" w:hAnsi="仿宋" w:eastAsia="仿宋"/>
                <w:szCs w:val="21"/>
              </w:rPr>
            </w:pPr>
            <w:r>
              <w:rPr>
                <w:rFonts w:hint="eastAsia" w:ascii="仿宋" w:hAnsi="仿宋" w:eastAsia="仿宋"/>
                <w:szCs w:val="21"/>
              </w:rPr>
              <w:t>金创图</w:t>
            </w:r>
          </w:p>
        </w:tc>
        <w:tc>
          <w:tcPr>
            <w:tcW w:w="2074" w:type="dxa"/>
          </w:tcPr>
          <w:p w14:paraId="46FB7F04">
            <w:pPr>
              <w:rPr>
                <w:rFonts w:hint="eastAsia" w:ascii="仿宋" w:hAnsi="仿宋" w:eastAsia="仿宋"/>
                <w:szCs w:val="21"/>
              </w:rPr>
            </w:pPr>
            <w:r>
              <w:rPr>
                <w:rFonts w:hint="eastAsia" w:ascii="仿宋" w:hAnsi="仿宋" w:eastAsia="仿宋"/>
                <w:szCs w:val="21"/>
              </w:rPr>
              <w:t>三江电气</w:t>
            </w:r>
          </w:p>
        </w:tc>
      </w:tr>
      <w:tr w14:paraId="19EC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1504C6EA">
            <w:pPr>
              <w:rPr>
                <w:rFonts w:hint="eastAsia" w:ascii="仿宋" w:hAnsi="仿宋" w:eastAsia="仿宋"/>
                <w:szCs w:val="21"/>
              </w:rPr>
            </w:pPr>
            <w:r>
              <w:rPr>
                <w:rFonts w:hint="eastAsia" w:ascii="仿宋" w:hAnsi="仿宋" w:eastAsia="仿宋"/>
                <w:szCs w:val="21"/>
              </w:rPr>
              <w:t>鑫宝达电机</w:t>
            </w:r>
          </w:p>
        </w:tc>
        <w:tc>
          <w:tcPr>
            <w:tcW w:w="1890" w:type="dxa"/>
          </w:tcPr>
          <w:p w14:paraId="734FC8BC">
            <w:pPr>
              <w:rPr>
                <w:rFonts w:hint="eastAsia" w:ascii="仿宋" w:hAnsi="仿宋" w:eastAsia="仿宋"/>
                <w:szCs w:val="21"/>
              </w:rPr>
            </w:pPr>
            <w:r>
              <w:rPr>
                <w:rFonts w:ascii="仿宋" w:hAnsi="仿宋" w:eastAsia="仿宋"/>
                <w:szCs w:val="21"/>
              </w:rPr>
              <w:t>新思维半导体</w:t>
            </w:r>
          </w:p>
        </w:tc>
        <w:tc>
          <w:tcPr>
            <w:tcW w:w="2258" w:type="dxa"/>
          </w:tcPr>
          <w:p w14:paraId="56D4CA4F">
            <w:pPr>
              <w:rPr>
                <w:rFonts w:hint="eastAsia" w:ascii="仿宋" w:hAnsi="仿宋" w:eastAsia="仿宋"/>
                <w:szCs w:val="21"/>
              </w:rPr>
            </w:pPr>
            <w:r>
              <w:rPr>
                <w:rFonts w:hint="eastAsia" w:ascii="仿宋" w:hAnsi="仿宋" w:eastAsia="仿宋"/>
                <w:szCs w:val="21"/>
              </w:rPr>
              <w:t>华南三弦</w:t>
            </w:r>
          </w:p>
        </w:tc>
        <w:tc>
          <w:tcPr>
            <w:tcW w:w="2074" w:type="dxa"/>
          </w:tcPr>
          <w:p w14:paraId="3C6215D6">
            <w:pPr>
              <w:rPr>
                <w:rFonts w:hint="eastAsia" w:ascii="仿宋" w:hAnsi="仿宋" w:eastAsia="仿宋"/>
                <w:szCs w:val="21"/>
              </w:rPr>
            </w:pPr>
            <w:r>
              <w:rPr>
                <w:rFonts w:hint="eastAsia" w:ascii="仿宋" w:hAnsi="仿宋" w:eastAsia="仿宋"/>
                <w:szCs w:val="21"/>
              </w:rPr>
              <w:t>朝阳辉电气</w:t>
            </w:r>
          </w:p>
        </w:tc>
      </w:tr>
      <w:bookmarkEnd w:id="4"/>
      <w:tr w14:paraId="736F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14:paraId="2195306B">
            <w:pPr>
              <w:jc w:val="center"/>
              <w:rPr>
                <w:rFonts w:hint="eastAsia" w:ascii="仿宋" w:hAnsi="仿宋" w:eastAsia="仿宋"/>
                <w:b/>
                <w:sz w:val="24"/>
                <w:szCs w:val="24"/>
              </w:rPr>
            </w:pPr>
            <w:r>
              <w:rPr>
                <w:rFonts w:hint="eastAsia" w:ascii="仿宋" w:hAnsi="仿宋" w:eastAsia="仿宋"/>
                <w:b/>
                <w:sz w:val="24"/>
                <w:szCs w:val="24"/>
              </w:rPr>
              <w:t>国内展团</w:t>
            </w:r>
          </w:p>
        </w:tc>
      </w:tr>
      <w:tr w14:paraId="029A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0BBFFB9A">
            <w:pPr>
              <w:rPr>
                <w:rFonts w:hint="eastAsia" w:ascii="仿宋" w:hAnsi="仿宋" w:eastAsia="仿宋"/>
                <w:szCs w:val="21"/>
              </w:rPr>
            </w:pPr>
            <w:r>
              <w:rPr>
                <w:rFonts w:hint="eastAsia" w:ascii="仿宋" w:hAnsi="仿宋" w:eastAsia="仿宋"/>
                <w:szCs w:val="21"/>
              </w:rPr>
              <w:t>惠州仲恺高新区外贸转型升级基地</w:t>
            </w:r>
          </w:p>
        </w:tc>
        <w:tc>
          <w:tcPr>
            <w:tcW w:w="1890" w:type="dxa"/>
          </w:tcPr>
          <w:p w14:paraId="5F23F6B8">
            <w:pPr>
              <w:rPr>
                <w:rFonts w:hint="eastAsia" w:ascii="仿宋" w:hAnsi="仿宋" w:eastAsia="仿宋"/>
                <w:szCs w:val="21"/>
              </w:rPr>
            </w:pPr>
            <w:r>
              <w:rPr>
                <w:rFonts w:hint="eastAsia" w:ascii="仿宋" w:hAnsi="仿宋" w:eastAsia="仿宋"/>
                <w:szCs w:val="21"/>
              </w:rPr>
              <w:t>中国建筑材料流通协会照明电气协会</w:t>
            </w:r>
          </w:p>
        </w:tc>
        <w:tc>
          <w:tcPr>
            <w:tcW w:w="2258" w:type="dxa"/>
          </w:tcPr>
          <w:p w14:paraId="01BCDE65">
            <w:pPr>
              <w:rPr>
                <w:rFonts w:hint="eastAsia" w:ascii="仿宋" w:hAnsi="仿宋" w:eastAsia="仿宋"/>
                <w:szCs w:val="21"/>
              </w:rPr>
            </w:pPr>
            <w:r>
              <w:rPr>
                <w:rFonts w:ascii="仿宋" w:hAnsi="仿宋" w:eastAsia="仿宋"/>
                <w:szCs w:val="21"/>
              </w:rPr>
              <w:t>深圳市零售智能信息化行业协会</w:t>
            </w:r>
          </w:p>
        </w:tc>
        <w:tc>
          <w:tcPr>
            <w:tcW w:w="2074" w:type="dxa"/>
          </w:tcPr>
          <w:p w14:paraId="45AC6B3C">
            <w:pPr>
              <w:rPr>
                <w:rFonts w:hint="eastAsia" w:ascii="仿宋" w:hAnsi="仿宋" w:eastAsia="仿宋"/>
                <w:szCs w:val="21"/>
              </w:rPr>
            </w:pPr>
            <w:r>
              <w:rPr>
                <w:rFonts w:hint="eastAsia" w:ascii="仿宋" w:hAnsi="仿宋" w:eastAsia="仿宋"/>
                <w:szCs w:val="21"/>
              </w:rPr>
              <w:t>广东省电子数码行业协会</w:t>
            </w:r>
          </w:p>
        </w:tc>
      </w:tr>
    </w:tbl>
    <w:p w14:paraId="02D9655A">
      <w:pPr>
        <w:pStyle w:val="10"/>
        <w:ind w:left="420" w:firstLine="0" w:firstLineChars="0"/>
        <w:rPr>
          <w:rFonts w:hint="eastAsia" w:ascii="仿宋" w:hAnsi="仿宋" w:eastAsia="仿宋"/>
          <w:b/>
          <w:sz w:val="28"/>
          <w:szCs w:val="28"/>
        </w:rPr>
      </w:pPr>
    </w:p>
    <w:p w14:paraId="6911EAE9">
      <w:pPr>
        <w:pStyle w:val="10"/>
        <w:numPr>
          <w:ilvl w:val="1"/>
          <w:numId w:val="1"/>
        </w:numPr>
        <w:ind w:firstLineChars="0"/>
        <w:rPr>
          <w:rFonts w:hint="eastAsia" w:ascii="仿宋" w:hAnsi="仿宋" w:eastAsia="仿宋"/>
          <w:b/>
          <w:sz w:val="28"/>
          <w:szCs w:val="28"/>
        </w:rPr>
      </w:pPr>
      <w:r>
        <w:rPr>
          <w:rFonts w:ascii="仿宋" w:hAnsi="仿宋" w:eastAsia="仿宋"/>
          <w:b/>
          <w:sz w:val="28"/>
          <w:szCs w:val="28"/>
        </w:rPr>
        <w:t>参展评价</w:t>
      </w:r>
    </w:p>
    <w:p w14:paraId="6F6DECD7">
      <w:pPr>
        <w:pStyle w:val="10"/>
        <w:numPr>
          <w:ilvl w:val="2"/>
          <w:numId w:val="1"/>
        </w:numPr>
        <w:ind w:firstLineChars="0"/>
        <w:rPr>
          <w:rFonts w:hint="eastAsia" w:ascii="仿宋" w:hAnsi="仿宋" w:eastAsia="仿宋"/>
          <w:b/>
          <w:sz w:val="28"/>
          <w:szCs w:val="28"/>
        </w:rPr>
      </w:pPr>
      <w:r>
        <w:rPr>
          <w:rFonts w:hint="eastAsia" w:ascii="仿宋" w:hAnsi="仿宋" w:eastAsia="仿宋"/>
          <w:b/>
          <w:sz w:val="28"/>
          <w:szCs w:val="28"/>
        </w:rPr>
        <w:t>深圳市高巨创新科技开发有限公司</w:t>
      </w:r>
      <w:r>
        <w:rPr>
          <w:rFonts w:hint="eastAsia" w:ascii="仿宋" w:hAnsi="仿宋" w:eastAsia="仿宋"/>
          <w:sz w:val="28"/>
          <w:szCs w:val="28"/>
        </w:rPr>
        <w:t>（无人机全产业链公司），</w:t>
      </w:r>
      <w:r>
        <w:rPr>
          <w:rFonts w:hint="eastAsia" w:ascii="仿宋" w:hAnsi="仿宋" w:eastAsia="仿宋"/>
          <w:b/>
          <w:sz w:val="28"/>
          <w:szCs w:val="28"/>
        </w:rPr>
        <w:t>第四次参展</w:t>
      </w:r>
    </w:p>
    <w:p w14:paraId="6723E47F">
      <w:pPr>
        <w:pStyle w:val="10"/>
        <w:ind w:left="1260" w:firstLine="0" w:firstLineChars="0"/>
        <w:rPr>
          <w:rFonts w:hint="eastAsia" w:ascii="仿宋" w:hAnsi="仿宋" w:eastAsia="仿宋"/>
          <w:b/>
          <w:sz w:val="28"/>
          <w:szCs w:val="28"/>
        </w:rPr>
      </w:pPr>
      <w:r>
        <w:rPr>
          <w:rFonts w:ascii="仿宋" w:hAnsi="仿宋" w:eastAsia="仿宋"/>
          <w:b/>
          <w:sz w:val="28"/>
          <w:szCs w:val="28"/>
        </w:rPr>
        <w:t>总经理李晨亮：</w:t>
      </w:r>
      <w:r>
        <w:rPr>
          <w:rFonts w:hint="eastAsia" w:ascii="仿宋" w:hAnsi="仿宋" w:eastAsia="仿宋"/>
          <w:sz w:val="28"/>
          <w:szCs w:val="28"/>
        </w:rPr>
        <w:t>这是我们公司第一次到越南参展。通过参展可以及时和当地实现交流，了解越南市场的特点，同时也获得一些信息，比如无人机领域和教育领域，我们产品的地位和竞争情况。同时跟客户交换联系方式，后续沟通具体需求，也可以为将来发展合作伙伴而做一些前期准备。</w:t>
      </w:r>
    </w:p>
    <w:p w14:paraId="6701C7A8">
      <w:pPr>
        <w:pStyle w:val="10"/>
        <w:numPr>
          <w:ilvl w:val="2"/>
          <w:numId w:val="1"/>
        </w:numPr>
        <w:spacing w:before="156" w:beforeLines="50"/>
        <w:ind w:left="1259" w:firstLineChars="0"/>
        <w:rPr>
          <w:rFonts w:hint="eastAsia" w:ascii="仿宋" w:hAnsi="仿宋" w:eastAsia="仿宋"/>
          <w:b/>
          <w:sz w:val="28"/>
          <w:szCs w:val="28"/>
        </w:rPr>
      </w:pPr>
      <w:r>
        <w:rPr>
          <w:rFonts w:hint="eastAsia" w:ascii="仿宋" w:hAnsi="仿宋" w:eastAsia="仿宋"/>
          <w:b/>
          <w:sz w:val="28"/>
          <w:szCs w:val="28"/>
        </w:rPr>
        <w:t>深圳市朝阳辉科技有限公司（</w:t>
      </w:r>
      <w:r>
        <w:rPr>
          <w:rFonts w:hint="eastAsia" w:ascii="仿宋" w:hAnsi="仿宋" w:eastAsia="仿宋"/>
          <w:sz w:val="28"/>
          <w:szCs w:val="28"/>
        </w:rPr>
        <w:t>电力工程设备；智能化电力系统和解决方案；新能源、光伏充电和智能化运营平台管理</w:t>
      </w:r>
      <w:r>
        <w:rPr>
          <w:rFonts w:hint="eastAsia" w:ascii="仿宋" w:hAnsi="仿宋" w:eastAsia="仿宋"/>
          <w:b/>
          <w:sz w:val="28"/>
          <w:szCs w:val="28"/>
        </w:rPr>
        <w:t>），第六次参展</w:t>
      </w:r>
    </w:p>
    <w:p w14:paraId="4A556AF9">
      <w:pPr>
        <w:pStyle w:val="10"/>
        <w:ind w:left="1260" w:firstLine="0" w:firstLineChars="0"/>
        <w:rPr>
          <w:rFonts w:hint="eastAsia" w:ascii="仿宋" w:hAnsi="仿宋" w:eastAsia="仿宋"/>
          <w:sz w:val="28"/>
          <w:szCs w:val="28"/>
        </w:rPr>
      </w:pPr>
      <w:r>
        <w:rPr>
          <w:rFonts w:hint="eastAsia" w:ascii="仿宋" w:hAnsi="仿宋" w:eastAsia="仿宋"/>
          <w:b/>
          <w:sz w:val="28"/>
          <w:szCs w:val="28"/>
        </w:rPr>
        <w:t>董事长周华昶：</w:t>
      </w:r>
      <w:r>
        <w:rPr>
          <w:rFonts w:hint="eastAsia" w:ascii="仿宋" w:hAnsi="仿宋" w:eastAsia="仿宋"/>
          <w:sz w:val="28"/>
          <w:szCs w:val="28"/>
        </w:rPr>
        <w:t>我们一直跟着侨交会，在他们带领下走到东南亚，来到越南，我们发现在越南有很多和我们有合作意向和持续交流合作的供应商。侨交会创造了一种交流文化：企业如果单独来寻求客户，很可能成本高，而且不会有精准的收获。在这里我们收获了精准的用户，在文化差异比较大的异国他乡，为我们节约了大量的时间。</w:t>
      </w:r>
    </w:p>
    <w:p w14:paraId="49F59E5C">
      <w:pPr>
        <w:pStyle w:val="10"/>
        <w:numPr>
          <w:ilvl w:val="2"/>
          <w:numId w:val="1"/>
        </w:numPr>
        <w:spacing w:before="156" w:beforeLines="50"/>
        <w:ind w:left="1259" w:firstLineChars="0"/>
        <w:rPr>
          <w:rFonts w:hint="eastAsia" w:ascii="仿宋" w:hAnsi="仿宋" w:eastAsia="仿宋"/>
          <w:b/>
          <w:sz w:val="28"/>
          <w:szCs w:val="28"/>
        </w:rPr>
      </w:pPr>
      <w:r>
        <w:rPr>
          <w:rFonts w:hint="eastAsia" w:ascii="仿宋" w:hAnsi="仿宋" w:eastAsia="仿宋"/>
          <w:b/>
          <w:sz w:val="28"/>
          <w:szCs w:val="28"/>
        </w:rPr>
        <w:t>夏单科技（珠海）有限公司</w:t>
      </w:r>
      <w:r>
        <w:rPr>
          <w:rFonts w:hint="eastAsia" w:ascii="仿宋" w:hAnsi="仿宋" w:eastAsia="仿宋"/>
          <w:sz w:val="28"/>
          <w:szCs w:val="28"/>
        </w:rPr>
        <w:t>（智能投影一体机、巨屏互动学习机、智能触控投影仪等），</w:t>
      </w:r>
      <w:r>
        <w:rPr>
          <w:rFonts w:hint="eastAsia" w:ascii="仿宋" w:hAnsi="仿宋" w:eastAsia="仿宋"/>
          <w:b/>
          <w:sz w:val="28"/>
          <w:szCs w:val="28"/>
        </w:rPr>
        <w:t>第一次参展</w:t>
      </w:r>
    </w:p>
    <w:p w14:paraId="6EC90955">
      <w:pPr>
        <w:pStyle w:val="10"/>
        <w:ind w:left="1260" w:firstLine="0" w:firstLineChars="0"/>
        <w:rPr>
          <w:rFonts w:hint="eastAsia" w:ascii="仿宋" w:hAnsi="仿宋" w:eastAsia="仿宋"/>
          <w:b/>
          <w:sz w:val="28"/>
          <w:szCs w:val="28"/>
        </w:rPr>
      </w:pPr>
      <w:r>
        <w:rPr>
          <w:rFonts w:hint="eastAsia" w:ascii="仿宋" w:hAnsi="仿宋" w:eastAsia="仿宋"/>
          <w:b/>
          <w:sz w:val="28"/>
          <w:szCs w:val="28"/>
        </w:rPr>
        <w:t>董事长夏静美：</w:t>
      </w:r>
      <w:r>
        <w:rPr>
          <w:rFonts w:hint="eastAsia" w:ascii="仿宋" w:hAnsi="仿宋" w:eastAsia="仿宋"/>
          <w:sz w:val="28"/>
          <w:szCs w:val="28"/>
        </w:rPr>
        <w:t>我们的智能触控投影在越南很有市场，大家对能在墙上直接书写的投影非常好奇。展会三日签单不断，让我们觉得不虚此行。侨交会的专业买家组织工作很到位，参展效果超出了我们的预期。</w:t>
      </w:r>
    </w:p>
    <w:p w14:paraId="317800E2">
      <w:pPr>
        <w:pStyle w:val="10"/>
        <w:numPr>
          <w:ilvl w:val="1"/>
          <w:numId w:val="1"/>
        </w:numPr>
        <w:ind w:firstLineChars="0"/>
        <w:rPr>
          <w:rFonts w:hint="eastAsia" w:ascii="仿宋" w:hAnsi="仿宋" w:eastAsia="仿宋"/>
          <w:b/>
          <w:sz w:val="28"/>
          <w:szCs w:val="28"/>
        </w:rPr>
      </w:pPr>
      <w:r>
        <w:rPr>
          <w:rFonts w:ascii="仿宋" w:hAnsi="仿宋" w:eastAsia="仿宋"/>
          <w:b/>
          <w:sz w:val="28"/>
          <w:szCs w:val="28"/>
        </w:rPr>
        <w:t>历届到场嘉宾</w:t>
      </w:r>
      <w:r>
        <w:rPr>
          <w:rFonts w:hint="eastAsia" w:ascii="仿宋" w:hAnsi="仿宋" w:eastAsia="仿宋"/>
          <w:bCs/>
          <w:sz w:val="28"/>
          <w:szCs w:val="28"/>
        </w:rPr>
        <w:t>（部分）</w:t>
      </w:r>
    </w:p>
    <w:p w14:paraId="63C6B371">
      <w:pPr>
        <w:pStyle w:val="10"/>
        <w:numPr>
          <w:ilvl w:val="2"/>
          <w:numId w:val="1"/>
        </w:numPr>
        <w:ind w:firstLineChars="0"/>
        <w:rPr>
          <w:rFonts w:hint="eastAsia" w:ascii="仿宋" w:hAnsi="仿宋" w:eastAsia="仿宋"/>
          <w:b/>
          <w:sz w:val="28"/>
          <w:szCs w:val="28"/>
        </w:rPr>
      </w:pPr>
      <w:r>
        <w:rPr>
          <w:rFonts w:ascii="仿宋" w:hAnsi="仿宋" w:eastAsia="仿宋"/>
          <w:b/>
          <w:sz w:val="28"/>
          <w:szCs w:val="28"/>
        </w:rPr>
        <w:t>中方嘉宾</w:t>
      </w:r>
    </w:p>
    <w:p w14:paraId="58DEF1FB">
      <w:pPr>
        <w:pStyle w:val="10"/>
        <w:ind w:left="1260" w:firstLine="0" w:firstLineChars="0"/>
        <w:rPr>
          <w:rFonts w:hint="eastAsia" w:ascii="仿宋" w:hAnsi="仿宋" w:eastAsia="仿宋"/>
          <w:sz w:val="28"/>
          <w:szCs w:val="28"/>
        </w:rPr>
      </w:pPr>
      <w:r>
        <w:rPr>
          <w:rFonts w:hint="eastAsia" w:ascii="仿宋" w:hAnsi="仿宋" w:eastAsia="仿宋"/>
          <w:sz w:val="28"/>
          <w:szCs w:val="28"/>
        </w:rPr>
        <w:t>中国驻胡志明市总领事馆副总领事 徐州</w:t>
      </w:r>
    </w:p>
    <w:p w14:paraId="7BF614A7">
      <w:pPr>
        <w:pStyle w:val="10"/>
        <w:ind w:left="1260" w:firstLine="0" w:firstLineChars="0"/>
        <w:rPr>
          <w:rFonts w:hint="eastAsia" w:ascii="仿宋" w:hAnsi="仿宋" w:eastAsia="仿宋"/>
          <w:sz w:val="28"/>
          <w:szCs w:val="28"/>
        </w:rPr>
      </w:pPr>
      <w:r>
        <w:rPr>
          <w:rFonts w:ascii="仿宋" w:hAnsi="仿宋" w:eastAsia="仿宋"/>
          <w:sz w:val="28"/>
          <w:szCs w:val="28"/>
        </w:rPr>
        <w:t>越南侨领</w:t>
      </w:r>
      <w:r>
        <w:rPr>
          <w:rFonts w:hint="eastAsia" w:ascii="仿宋" w:hAnsi="仿宋" w:eastAsia="仿宋"/>
          <w:sz w:val="28"/>
          <w:szCs w:val="28"/>
        </w:rPr>
        <w:t xml:space="preserve"> 朱应昌</w:t>
      </w:r>
    </w:p>
    <w:p w14:paraId="2A834F25">
      <w:pPr>
        <w:pStyle w:val="10"/>
        <w:ind w:left="1260" w:firstLine="0" w:firstLineChars="0"/>
        <w:rPr>
          <w:rFonts w:hint="eastAsia" w:ascii="仿宋" w:hAnsi="仿宋" w:eastAsia="仿宋"/>
          <w:sz w:val="28"/>
          <w:szCs w:val="28"/>
        </w:rPr>
      </w:pPr>
      <w:r>
        <w:rPr>
          <w:rFonts w:hint="eastAsia" w:ascii="仿宋" w:hAnsi="仿宋" w:eastAsia="仿宋"/>
          <w:sz w:val="28"/>
          <w:szCs w:val="28"/>
        </w:rPr>
        <w:t>越南中国商会副会长、越南中国商会胡志明分会会长 张炜</w:t>
      </w:r>
    </w:p>
    <w:p w14:paraId="0A7FF751">
      <w:pPr>
        <w:pStyle w:val="10"/>
        <w:ind w:left="1260" w:firstLine="0" w:firstLineChars="0"/>
        <w:rPr>
          <w:rFonts w:hint="eastAsia" w:ascii="仿宋" w:hAnsi="仿宋" w:eastAsia="仿宋"/>
          <w:sz w:val="28"/>
          <w:szCs w:val="28"/>
        </w:rPr>
      </w:pPr>
      <w:r>
        <w:rPr>
          <w:rFonts w:hint="eastAsia" w:ascii="仿宋" w:hAnsi="仿宋" w:eastAsia="仿宋"/>
          <w:sz w:val="28"/>
          <w:szCs w:val="28"/>
        </w:rPr>
        <w:t>越南中国商会广东企业联合会（越南粤商会）会长 徐丰培</w:t>
      </w:r>
    </w:p>
    <w:p w14:paraId="6A3F8CBB">
      <w:pPr>
        <w:pStyle w:val="10"/>
        <w:ind w:left="1260" w:firstLine="0" w:firstLineChars="0"/>
        <w:rPr>
          <w:rFonts w:hint="eastAsia" w:ascii="仿宋" w:hAnsi="仿宋" w:eastAsia="仿宋"/>
          <w:sz w:val="28"/>
          <w:szCs w:val="28"/>
        </w:rPr>
      </w:pPr>
      <w:r>
        <w:rPr>
          <w:rFonts w:hint="eastAsia" w:ascii="仿宋" w:hAnsi="仿宋" w:eastAsia="仿宋"/>
          <w:sz w:val="28"/>
          <w:szCs w:val="28"/>
        </w:rPr>
        <w:t>越南中国商会江苏企业联合会会长 徐传禄</w:t>
      </w:r>
    </w:p>
    <w:p w14:paraId="2306C584">
      <w:pPr>
        <w:pStyle w:val="10"/>
        <w:ind w:left="1260" w:firstLine="0" w:firstLineChars="0"/>
        <w:rPr>
          <w:rFonts w:hint="eastAsia" w:ascii="仿宋" w:hAnsi="仿宋" w:eastAsia="仿宋"/>
          <w:sz w:val="28"/>
          <w:szCs w:val="28"/>
        </w:rPr>
      </w:pPr>
      <w:r>
        <w:rPr>
          <w:rFonts w:hint="eastAsia" w:ascii="仿宋" w:hAnsi="仿宋" w:eastAsia="仿宋"/>
          <w:sz w:val="28"/>
          <w:szCs w:val="28"/>
        </w:rPr>
        <w:t>越南中国商会贵州企业联合会会长 刘斌</w:t>
      </w:r>
    </w:p>
    <w:p w14:paraId="55D41BCA">
      <w:pPr>
        <w:pStyle w:val="10"/>
        <w:ind w:left="1260" w:firstLine="0" w:firstLineChars="0"/>
        <w:rPr>
          <w:rFonts w:hint="eastAsia" w:ascii="仿宋" w:hAnsi="仿宋" w:eastAsia="仿宋"/>
          <w:sz w:val="28"/>
          <w:szCs w:val="28"/>
        </w:rPr>
      </w:pPr>
      <w:r>
        <w:rPr>
          <w:rFonts w:hint="eastAsia" w:ascii="仿宋" w:hAnsi="仿宋" w:eastAsia="仿宋"/>
          <w:sz w:val="28"/>
          <w:szCs w:val="28"/>
        </w:rPr>
        <w:t>越南中国商会湖南企业联合会副会长 裴世友</w:t>
      </w:r>
    </w:p>
    <w:p w14:paraId="453AEF1F">
      <w:pPr>
        <w:pStyle w:val="10"/>
        <w:ind w:left="1260" w:firstLine="0" w:firstLineChars="0"/>
        <w:rPr>
          <w:rFonts w:hint="eastAsia" w:ascii="仿宋" w:hAnsi="仿宋" w:eastAsia="仿宋"/>
          <w:sz w:val="28"/>
          <w:szCs w:val="28"/>
        </w:rPr>
      </w:pPr>
      <w:r>
        <w:rPr>
          <w:rFonts w:hint="eastAsia" w:ascii="仿宋" w:hAnsi="仿宋" w:eastAsia="仿宋"/>
          <w:sz w:val="28"/>
          <w:szCs w:val="28"/>
        </w:rPr>
        <w:t>越南中国商会贵州企业联合会副会长 梁庆鹏</w:t>
      </w:r>
    </w:p>
    <w:p w14:paraId="00F450D5">
      <w:pPr>
        <w:pStyle w:val="10"/>
        <w:ind w:left="1260" w:firstLine="0" w:firstLineChars="0"/>
        <w:rPr>
          <w:rFonts w:hint="eastAsia" w:ascii="仿宋" w:hAnsi="仿宋" w:eastAsia="仿宋"/>
          <w:sz w:val="28"/>
          <w:szCs w:val="28"/>
        </w:rPr>
      </w:pPr>
      <w:r>
        <w:rPr>
          <w:rFonts w:hint="eastAsia" w:ascii="仿宋" w:hAnsi="仿宋" w:eastAsia="仿宋"/>
          <w:sz w:val="28"/>
          <w:szCs w:val="28"/>
        </w:rPr>
        <w:t>越南香港商会副会长 Mr. FRED BURKE</w:t>
      </w:r>
    </w:p>
    <w:p w14:paraId="37CDA351">
      <w:pPr>
        <w:pStyle w:val="10"/>
        <w:ind w:left="1260" w:firstLine="0" w:firstLineChars="0"/>
        <w:rPr>
          <w:rFonts w:hint="eastAsia" w:ascii="仿宋" w:hAnsi="仿宋" w:eastAsia="仿宋"/>
          <w:sz w:val="28"/>
          <w:szCs w:val="28"/>
        </w:rPr>
      </w:pPr>
      <w:r>
        <w:rPr>
          <w:rFonts w:hint="eastAsia" w:ascii="仿宋" w:hAnsi="仿宋" w:eastAsia="仿宋"/>
          <w:sz w:val="28"/>
          <w:szCs w:val="28"/>
        </w:rPr>
        <w:t>海尔智家越南总经理 张守江</w:t>
      </w:r>
    </w:p>
    <w:p w14:paraId="66FF2D25">
      <w:pPr>
        <w:pStyle w:val="10"/>
        <w:ind w:left="1260" w:firstLine="0" w:firstLineChars="0"/>
        <w:rPr>
          <w:rFonts w:hint="eastAsia" w:ascii="仿宋" w:hAnsi="仿宋" w:eastAsia="仿宋"/>
          <w:sz w:val="28"/>
          <w:szCs w:val="28"/>
        </w:rPr>
      </w:pPr>
      <w:r>
        <w:rPr>
          <w:rFonts w:ascii="仿宋" w:hAnsi="仿宋" w:eastAsia="仿宋"/>
          <w:sz w:val="28"/>
          <w:szCs w:val="28"/>
        </w:rPr>
        <w:t>格力越南总经理</w:t>
      </w:r>
      <w:r>
        <w:rPr>
          <w:rFonts w:hint="eastAsia" w:ascii="仿宋" w:hAnsi="仿宋" w:eastAsia="仿宋"/>
          <w:sz w:val="28"/>
          <w:szCs w:val="28"/>
        </w:rPr>
        <w:t xml:space="preserve"> 杨文彬</w:t>
      </w:r>
    </w:p>
    <w:p w14:paraId="6673DE1F">
      <w:pPr>
        <w:pStyle w:val="10"/>
        <w:ind w:left="1260" w:firstLine="0" w:firstLineChars="0"/>
        <w:rPr>
          <w:rFonts w:hint="eastAsia" w:ascii="仿宋" w:hAnsi="仿宋" w:eastAsia="仿宋"/>
          <w:sz w:val="28"/>
          <w:szCs w:val="28"/>
        </w:rPr>
      </w:pPr>
      <w:r>
        <w:rPr>
          <w:rFonts w:hint="eastAsia" w:ascii="仿宋" w:hAnsi="仿宋" w:eastAsia="仿宋"/>
          <w:sz w:val="28"/>
          <w:szCs w:val="28"/>
        </w:rPr>
        <w:t>阿里云国际越南国家经理 赵雪姣</w:t>
      </w:r>
    </w:p>
    <w:p w14:paraId="061D4ADE">
      <w:pPr>
        <w:pStyle w:val="10"/>
        <w:ind w:left="1260" w:firstLine="0" w:firstLineChars="0"/>
        <w:rPr>
          <w:rFonts w:hint="eastAsia" w:ascii="仿宋" w:hAnsi="仿宋" w:eastAsia="仿宋"/>
          <w:sz w:val="28"/>
          <w:szCs w:val="28"/>
        </w:rPr>
      </w:pPr>
      <w:r>
        <w:rPr>
          <w:rFonts w:hint="eastAsia" w:ascii="仿宋" w:hAnsi="仿宋" w:eastAsia="仿宋"/>
          <w:sz w:val="28"/>
          <w:szCs w:val="28"/>
        </w:rPr>
        <w:t>阿里云国际亚太北大区产品及解决方案负责人 林绍文</w:t>
      </w:r>
    </w:p>
    <w:p w14:paraId="2CCDE6F0">
      <w:pPr>
        <w:pStyle w:val="10"/>
        <w:ind w:left="1260" w:firstLine="0" w:firstLineChars="0"/>
        <w:rPr>
          <w:rFonts w:hint="eastAsia" w:ascii="仿宋" w:hAnsi="仿宋" w:eastAsia="仿宋"/>
          <w:sz w:val="28"/>
          <w:szCs w:val="28"/>
        </w:rPr>
      </w:pPr>
      <w:r>
        <w:rPr>
          <w:rFonts w:hint="eastAsia" w:ascii="仿宋" w:hAnsi="仿宋" w:eastAsia="仿宋"/>
          <w:sz w:val="28"/>
          <w:szCs w:val="28"/>
        </w:rPr>
        <w:t>Tik</w:t>
      </w:r>
      <w:r>
        <w:rPr>
          <w:rFonts w:ascii="仿宋" w:hAnsi="仿宋" w:eastAsia="仿宋"/>
          <w:sz w:val="28"/>
          <w:szCs w:val="28"/>
        </w:rPr>
        <w:t>Tok越南官方负责人</w:t>
      </w:r>
    </w:p>
    <w:p w14:paraId="7221592E">
      <w:pPr>
        <w:pStyle w:val="10"/>
        <w:ind w:left="1260" w:firstLine="0" w:firstLineChars="0"/>
        <w:rPr>
          <w:rFonts w:hint="eastAsia" w:ascii="仿宋" w:hAnsi="仿宋" w:eastAsia="仿宋"/>
          <w:sz w:val="28"/>
          <w:szCs w:val="28"/>
        </w:rPr>
      </w:pPr>
      <w:r>
        <w:rPr>
          <w:rFonts w:hint="eastAsia" w:ascii="仿宋" w:hAnsi="仿宋" w:eastAsia="仿宋"/>
          <w:sz w:val="28"/>
          <w:szCs w:val="28"/>
        </w:rPr>
        <w:t>Lazada东南亚官方负责人</w:t>
      </w:r>
    </w:p>
    <w:p w14:paraId="04672B4E">
      <w:pPr>
        <w:pStyle w:val="10"/>
        <w:ind w:left="1260" w:firstLine="0" w:firstLineChars="0"/>
        <w:rPr>
          <w:rFonts w:hint="eastAsia" w:ascii="仿宋" w:hAnsi="仿宋" w:eastAsia="仿宋"/>
          <w:sz w:val="28"/>
          <w:szCs w:val="28"/>
        </w:rPr>
      </w:pPr>
      <w:r>
        <w:rPr>
          <w:rFonts w:ascii="仿宋" w:hAnsi="仿宋" w:eastAsia="仿宋"/>
          <w:sz w:val="28"/>
          <w:szCs w:val="28"/>
        </w:rPr>
        <w:t>涂鸦前越南市场负责人</w:t>
      </w:r>
    </w:p>
    <w:p w14:paraId="04F510E7">
      <w:pPr>
        <w:pStyle w:val="10"/>
        <w:numPr>
          <w:ilvl w:val="2"/>
          <w:numId w:val="1"/>
        </w:numPr>
        <w:ind w:firstLineChars="0"/>
        <w:rPr>
          <w:rFonts w:hint="eastAsia" w:ascii="仿宋" w:hAnsi="仿宋" w:eastAsia="仿宋"/>
          <w:b/>
          <w:sz w:val="28"/>
          <w:szCs w:val="28"/>
        </w:rPr>
      </w:pPr>
      <w:r>
        <w:rPr>
          <w:rFonts w:ascii="仿宋" w:hAnsi="仿宋" w:eastAsia="仿宋"/>
          <w:b/>
          <w:sz w:val="28"/>
          <w:szCs w:val="28"/>
        </w:rPr>
        <w:t>越南方嘉宾</w:t>
      </w:r>
    </w:p>
    <w:p w14:paraId="48961EEC">
      <w:pPr>
        <w:pStyle w:val="10"/>
        <w:ind w:left="1260" w:firstLine="0" w:firstLineChars="0"/>
        <w:rPr>
          <w:rFonts w:hint="eastAsia" w:ascii="仿宋" w:hAnsi="仿宋" w:eastAsia="仿宋"/>
          <w:sz w:val="28"/>
          <w:szCs w:val="28"/>
        </w:rPr>
      </w:pPr>
      <w:r>
        <w:rPr>
          <w:rFonts w:hint="eastAsia" w:ascii="仿宋" w:hAnsi="仿宋" w:eastAsia="仿宋"/>
          <w:sz w:val="28"/>
          <w:szCs w:val="28"/>
        </w:rPr>
        <w:t>越南工商部贸易促进局副局长 黎皇才</w:t>
      </w:r>
    </w:p>
    <w:p w14:paraId="422D15A2">
      <w:pPr>
        <w:pStyle w:val="10"/>
        <w:ind w:left="1260" w:firstLine="0" w:firstLineChars="0"/>
        <w:rPr>
          <w:rFonts w:hint="eastAsia" w:ascii="仿宋" w:hAnsi="仿宋" w:eastAsia="仿宋"/>
          <w:sz w:val="28"/>
          <w:szCs w:val="28"/>
        </w:rPr>
      </w:pPr>
      <w:r>
        <w:rPr>
          <w:rFonts w:hint="eastAsia" w:ascii="仿宋" w:hAnsi="仿宋" w:eastAsia="仿宋"/>
          <w:sz w:val="28"/>
          <w:szCs w:val="28"/>
        </w:rPr>
        <w:t>越南工商总会胡志明市分会主席 陈玉廉</w:t>
      </w:r>
    </w:p>
    <w:p w14:paraId="56A3AFC8">
      <w:pPr>
        <w:pStyle w:val="10"/>
        <w:ind w:left="1260" w:firstLine="0" w:firstLineChars="0"/>
        <w:rPr>
          <w:rFonts w:hint="eastAsia" w:ascii="仿宋" w:hAnsi="仿宋" w:eastAsia="仿宋"/>
          <w:sz w:val="28"/>
          <w:szCs w:val="28"/>
        </w:rPr>
      </w:pPr>
      <w:r>
        <w:rPr>
          <w:rFonts w:hint="eastAsia" w:ascii="仿宋" w:hAnsi="仿宋" w:eastAsia="仿宋"/>
          <w:sz w:val="28"/>
          <w:szCs w:val="28"/>
        </w:rPr>
        <w:t>永福省投资计划厅</w:t>
      </w:r>
      <w:r>
        <w:rPr>
          <w:rFonts w:ascii="仿宋" w:hAnsi="仿宋" w:eastAsia="仿宋"/>
          <w:sz w:val="28"/>
          <w:szCs w:val="28"/>
        </w:rPr>
        <w:t xml:space="preserve">- </w:t>
      </w:r>
      <w:r>
        <w:rPr>
          <w:rFonts w:hint="eastAsia" w:ascii="仿宋" w:hAnsi="仿宋" w:eastAsia="仿宋"/>
          <w:sz w:val="28"/>
          <w:szCs w:val="28"/>
        </w:rPr>
        <w:t>副经理范光胜</w:t>
      </w:r>
      <w:r>
        <w:rPr>
          <w:rFonts w:ascii="仿宋" w:hAnsi="仿宋" w:eastAsia="仿宋"/>
          <w:sz w:val="28"/>
          <w:szCs w:val="28"/>
        </w:rPr>
        <w:t xml:space="preserve"> Ph</w:t>
      </w:r>
      <w:r>
        <w:rPr>
          <w:rFonts w:ascii="Calibri" w:hAnsi="Calibri" w:eastAsia="仿宋" w:cs="Calibri"/>
          <w:sz w:val="28"/>
          <w:szCs w:val="28"/>
        </w:rPr>
        <w:t>ạ</w:t>
      </w:r>
      <w:r>
        <w:rPr>
          <w:rFonts w:ascii="仿宋" w:hAnsi="仿宋" w:eastAsia="仿宋"/>
          <w:sz w:val="28"/>
          <w:szCs w:val="28"/>
        </w:rPr>
        <w:t>m Quang Th</w:t>
      </w:r>
      <w:r>
        <w:rPr>
          <w:rFonts w:ascii="Calibri" w:hAnsi="Calibri" w:eastAsia="仿宋" w:cs="Calibri"/>
          <w:sz w:val="28"/>
          <w:szCs w:val="28"/>
        </w:rPr>
        <w:t>ắ</w:t>
      </w:r>
      <w:r>
        <w:rPr>
          <w:rFonts w:ascii="仿宋" w:hAnsi="仿宋" w:eastAsia="仿宋"/>
          <w:sz w:val="28"/>
          <w:szCs w:val="28"/>
        </w:rPr>
        <w:t>ng</w:t>
      </w:r>
    </w:p>
    <w:p w14:paraId="609B73E1">
      <w:pPr>
        <w:pStyle w:val="10"/>
        <w:ind w:left="1260" w:firstLine="0" w:firstLineChars="0"/>
        <w:rPr>
          <w:rFonts w:hint="eastAsia" w:ascii="仿宋" w:hAnsi="仿宋" w:eastAsia="仿宋"/>
          <w:sz w:val="28"/>
          <w:szCs w:val="28"/>
        </w:rPr>
      </w:pPr>
      <w:r>
        <w:rPr>
          <w:rFonts w:hint="eastAsia" w:ascii="仿宋" w:hAnsi="仿宋" w:eastAsia="仿宋"/>
          <w:sz w:val="28"/>
          <w:szCs w:val="28"/>
        </w:rPr>
        <w:t>胡志明市自动化协会主席 黎怀国</w:t>
      </w:r>
    </w:p>
    <w:p w14:paraId="46B971FA">
      <w:pPr>
        <w:pStyle w:val="10"/>
        <w:ind w:left="1260" w:firstLine="0" w:firstLineChars="0"/>
        <w:rPr>
          <w:rFonts w:hint="eastAsia" w:ascii="仿宋" w:hAnsi="仿宋" w:eastAsia="仿宋"/>
          <w:sz w:val="28"/>
          <w:szCs w:val="28"/>
        </w:rPr>
      </w:pPr>
      <w:r>
        <w:rPr>
          <w:rFonts w:hint="eastAsia" w:ascii="仿宋" w:hAnsi="仿宋" w:eastAsia="仿宋"/>
          <w:sz w:val="28"/>
          <w:szCs w:val="28"/>
        </w:rPr>
        <w:t>越南电子商务协会传媒部副主任杨明聪</w:t>
      </w:r>
    </w:p>
    <w:p w14:paraId="53566B98">
      <w:pPr>
        <w:pStyle w:val="10"/>
        <w:ind w:left="1260" w:firstLine="0" w:firstLineChars="0"/>
        <w:rPr>
          <w:rFonts w:hint="eastAsia" w:ascii="仿宋" w:hAnsi="仿宋" w:eastAsia="仿宋"/>
          <w:sz w:val="28"/>
          <w:szCs w:val="28"/>
        </w:rPr>
      </w:pPr>
      <w:r>
        <w:rPr>
          <w:rFonts w:hint="eastAsia" w:ascii="仿宋" w:hAnsi="仿宋" w:eastAsia="仿宋"/>
          <w:sz w:val="28"/>
          <w:szCs w:val="28"/>
        </w:rPr>
        <w:t>胡志明市信息技术协会副主席 Hà Th</w:t>
      </w:r>
      <w:r>
        <w:rPr>
          <w:rFonts w:ascii="Calibri" w:hAnsi="Calibri" w:eastAsia="仿宋" w:cs="Calibri"/>
          <w:sz w:val="28"/>
          <w:szCs w:val="28"/>
        </w:rPr>
        <w:t>â</w:t>
      </w:r>
      <w:r>
        <w:rPr>
          <w:rFonts w:hint="eastAsia" w:ascii="仿宋" w:hAnsi="仿宋" w:eastAsia="仿宋"/>
          <w:sz w:val="28"/>
          <w:szCs w:val="28"/>
        </w:rPr>
        <w:t>n</w:t>
      </w:r>
    </w:p>
    <w:p w14:paraId="356A9603">
      <w:pPr>
        <w:pStyle w:val="10"/>
        <w:ind w:left="1260" w:firstLine="0" w:firstLineChars="0"/>
        <w:rPr>
          <w:rFonts w:hint="eastAsia" w:ascii="仿宋" w:hAnsi="仿宋" w:eastAsia="仿宋"/>
          <w:sz w:val="28"/>
          <w:szCs w:val="28"/>
        </w:rPr>
      </w:pPr>
      <w:r>
        <w:rPr>
          <w:rFonts w:hint="eastAsia" w:ascii="仿宋" w:hAnsi="仿宋" w:eastAsia="仿宋"/>
          <w:sz w:val="28"/>
          <w:szCs w:val="28"/>
        </w:rPr>
        <w:t>胡志明市信息技术协会副主席 邓氏财</w:t>
      </w:r>
    </w:p>
    <w:p w14:paraId="5509CB3A">
      <w:pPr>
        <w:pStyle w:val="10"/>
        <w:ind w:left="1260" w:firstLine="0" w:firstLineChars="0"/>
        <w:rPr>
          <w:rFonts w:hint="eastAsia" w:ascii="仿宋" w:hAnsi="仿宋" w:eastAsia="仿宋"/>
          <w:sz w:val="28"/>
          <w:szCs w:val="28"/>
        </w:rPr>
      </w:pPr>
      <w:r>
        <w:rPr>
          <w:rFonts w:hint="eastAsia" w:ascii="仿宋" w:hAnsi="仿宋" w:eastAsia="仿宋"/>
          <w:sz w:val="28"/>
          <w:szCs w:val="28"/>
        </w:rPr>
        <w:t>越南国家广告博览公司总经理 阮文银</w:t>
      </w:r>
    </w:p>
    <w:p w14:paraId="73C65D9D">
      <w:pPr>
        <w:pStyle w:val="10"/>
        <w:ind w:left="1260" w:firstLine="0" w:firstLineChars="0"/>
        <w:rPr>
          <w:rFonts w:hint="eastAsia" w:ascii="仿宋" w:hAnsi="仿宋" w:eastAsia="仿宋"/>
          <w:sz w:val="28"/>
          <w:szCs w:val="28"/>
        </w:rPr>
      </w:pPr>
      <w:r>
        <w:rPr>
          <w:rFonts w:hint="eastAsia" w:ascii="仿宋" w:hAnsi="仿宋" w:eastAsia="仿宋"/>
          <w:sz w:val="28"/>
          <w:szCs w:val="28"/>
        </w:rPr>
        <w:t>胡志明市机械</w:t>
      </w:r>
      <w:r>
        <w:rPr>
          <w:rFonts w:ascii="仿宋" w:hAnsi="仿宋" w:eastAsia="仿宋"/>
          <w:sz w:val="28"/>
          <w:szCs w:val="28"/>
        </w:rPr>
        <w:t>-</w:t>
      </w:r>
      <w:r>
        <w:rPr>
          <w:rFonts w:hint="eastAsia" w:ascii="仿宋" w:hAnsi="仿宋" w:eastAsia="仿宋"/>
          <w:sz w:val="28"/>
          <w:szCs w:val="28"/>
        </w:rPr>
        <w:t>电气企业协会主席</w:t>
      </w:r>
      <w:r>
        <w:rPr>
          <w:rFonts w:ascii="仿宋" w:hAnsi="仿宋" w:eastAsia="仿宋"/>
          <w:sz w:val="28"/>
          <w:szCs w:val="28"/>
        </w:rPr>
        <w:t xml:space="preserve"> </w:t>
      </w:r>
      <w:r>
        <w:rPr>
          <w:rFonts w:ascii="Calibri" w:hAnsi="Calibri" w:eastAsia="仿宋" w:cs="Calibri"/>
          <w:sz w:val="28"/>
          <w:szCs w:val="28"/>
        </w:rPr>
        <w:t>Đ</w:t>
      </w:r>
      <w:r>
        <w:rPr>
          <w:rFonts w:ascii="仿宋" w:hAnsi="仿宋" w:eastAsia="仿宋"/>
          <w:sz w:val="28"/>
          <w:szCs w:val="28"/>
        </w:rPr>
        <w:t xml:space="preserve"> </w:t>
      </w:r>
      <w:r>
        <w:rPr>
          <w:rFonts w:ascii="Calibri" w:hAnsi="Calibri" w:eastAsia="仿宋" w:cs="Calibri"/>
          <w:sz w:val="28"/>
          <w:szCs w:val="28"/>
        </w:rPr>
        <w:t>ỗ</w:t>
      </w:r>
      <w:r>
        <w:rPr>
          <w:rFonts w:ascii="仿宋" w:hAnsi="仿宋" w:eastAsia="仿宋"/>
          <w:sz w:val="28"/>
          <w:szCs w:val="28"/>
        </w:rPr>
        <w:t xml:space="preserve"> Ph</w:t>
      </w:r>
      <w:r>
        <w:rPr>
          <w:rFonts w:ascii="Calibri" w:hAnsi="Calibri" w:eastAsia="仿宋" w:cs="Calibri"/>
          <w:sz w:val="28"/>
          <w:szCs w:val="28"/>
        </w:rPr>
        <w:t>ư</w:t>
      </w:r>
      <w:r>
        <w:rPr>
          <w:rFonts w:ascii="仿宋" w:hAnsi="仿宋" w:eastAsia="仿宋"/>
          <w:sz w:val="28"/>
          <w:szCs w:val="28"/>
        </w:rPr>
        <w:t xml:space="preserve"> </w:t>
      </w:r>
      <w:r>
        <w:rPr>
          <w:rFonts w:ascii="Calibri" w:hAnsi="Calibri" w:eastAsia="仿宋" w:cs="Calibri"/>
          <w:sz w:val="28"/>
          <w:szCs w:val="28"/>
        </w:rPr>
        <w:t>ớ</w:t>
      </w:r>
      <w:r>
        <w:rPr>
          <w:rFonts w:ascii="仿宋" w:hAnsi="仿宋" w:eastAsia="仿宋"/>
          <w:sz w:val="28"/>
          <w:szCs w:val="28"/>
        </w:rPr>
        <w:t xml:space="preserve"> c T</w:t>
      </w:r>
      <w:r>
        <w:rPr>
          <w:rFonts w:ascii="Calibri" w:hAnsi="Calibri" w:eastAsia="仿宋" w:cs="Calibri"/>
          <w:sz w:val="28"/>
          <w:szCs w:val="28"/>
        </w:rPr>
        <w:t>ố</w:t>
      </w:r>
      <w:r>
        <w:rPr>
          <w:rFonts w:ascii="仿宋" w:hAnsi="仿宋" w:eastAsia="仿宋"/>
          <w:sz w:val="28"/>
          <w:szCs w:val="28"/>
        </w:rPr>
        <w:t xml:space="preserve"> ng</w:t>
      </w:r>
    </w:p>
    <w:p w14:paraId="1C023F4E">
      <w:pPr>
        <w:pStyle w:val="10"/>
        <w:ind w:left="1260" w:firstLine="0" w:firstLineChars="0"/>
        <w:rPr>
          <w:rFonts w:hint="eastAsia" w:ascii="仿宋" w:hAnsi="仿宋" w:eastAsia="仿宋"/>
          <w:sz w:val="28"/>
          <w:szCs w:val="28"/>
        </w:rPr>
      </w:pPr>
      <w:r>
        <w:rPr>
          <w:rFonts w:hint="eastAsia" w:ascii="仿宋" w:hAnsi="仿宋" w:eastAsia="仿宋"/>
          <w:sz w:val="28"/>
          <w:szCs w:val="28"/>
        </w:rPr>
        <w:t>SSG JSC 主席 林光南</w:t>
      </w:r>
    </w:p>
    <w:p w14:paraId="1D436323">
      <w:pPr>
        <w:pStyle w:val="10"/>
        <w:ind w:left="1260" w:firstLine="0" w:firstLineChars="0"/>
        <w:rPr>
          <w:rFonts w:hint="eastAsia" w:ascii="仿宋" w:hAnsi="仿宋" w:eastAsia="仿宋"/>
          <w:sz w:val="28"/>
          <w:szCs w:val="28"/>
        </w:rPr>
      </w:pPr>
      <w:r>
        <w:rPr>
          <w:rFonts w:hint="eastAsia" w:ascii="仿宋" w:hAnsi="仿宋" w:eastAsia="仿宋"/>
          <w:sz w:val="28"/>
          <w:szCs w:val="28"/>
        </w:rPr>
        <w:t>FPT Software 企业业务总监 吴明智</w:t>
      </w:r>
    </w:p>
    <w:p w14:paraId="3D3EFA5A">
      <w:pPr>
        <w:pStyle w:val="10"/>
        <w:numPr>
          <w:ilvl w:val="0"/>
          <w:numId w:val="1"/>
        </w:numPr>
        <w:spacing w:before="156" w:beforeLines="50"/>
        <w:ind w:firstLineChars="0"/>
        <w:rPr>
          <w:rFonts w:hint="eastAsia" w:ascii="黑体" w:hAnsi="黑体" w:eastAsia="黑体"/>
          <w:b/>
          <w:sz w:val="28"/>
          <w:szCs w:val="28"/>
        </w:rPr>
      </w:pPr>
      <w:r>
        <w:rPr>
          <w:rFonts w:hint="eastAsia" w:ascii="黑体" w:hAnsi="黑体" w:eastAsia="黑体"/>
          <w:b/>
          <w:sz w:val="28"/>
          <w:szCs w:val="28"/>
        </w:rPr>
        <w:t>合作媒体</w:t>
      </w:r>
    </w:p>
    <w:p w14:paraId="341710DC">
      <w:pPr>
        <w:pStyle w:val="10"/>
        <w:numPr>
          <w:ilvl w:val="2"/>
          <w:numId w:val="1"/>
        </w:numPr>
        <w:ind w:firstLineChars="0"/>
        <w:rPr>
          <w:rFonts w:hint="eastAsia" w:ascii="仿宋" w:hAnsi="仿宋" w:eastAsia="仿宋"/>
          <w:b/>
          <w:sz w:val="28"/>
          <w:szCs w:val="28"/>
        </w:rPr>
      </w:pPr>
      <w:r>
        <w:rPr>
          <w:rFonts w:ascii="仿宋" w:hAnsi="仿宋" w:eastAsia="仿宋"/>
          <w:b/>
          <w:sz w:val="28"/>
          <w:szCs w:val="28"/>
        </w:rPr>
        <w:t>中方媒体：</w:t>
      </w:r>
      <w:r>
        <w:rPr>
          <w:rFonts w:ascii="仿宋" w:hAnsi="仿宋" w:eastAsia="仿宋"/>
          <w:sz w:val="28"/>
          <w:szCs w:val="28"/>
        </w:rPr>
        <w:t>中新网、南方</w:t>
      </w:r>
      <w:r>
        <w:rPr>
          <w:rFonts w:hint="eastAsia" w:ascii="仿宋" w:hAnsi="仿宋" w:eastAsia="仿宋"/>
          <w:sz w:val="28"/>
          <w:szCs w:val="28"/>
        </w:rPr>
        <w:t>+</w:t>
      </w:r>
      <w:r>
        <w:rPr>
          <w:rFonts w:ascii="仿宋" w:hAnsi="仿宋" w:eastAsia="仿宋"/>
          <w:sz w:val="28"/>
          <w:szCs w:val="28"/>
        </w:rPr>
        <w:t>、凤凰网、36氪、界面新闻等</w:t>
      </w:r>
    </w:p>
    <w:p w14:paraId="73EE8A4E">
      <w:pPr>
        <w:pStyle w:val="10"/>
        <w:numPr>
          <w:ilvl w:val="2"/>
          <w:numId w:val="1"/>
        </w:numPr>
        <w:ind w:firstLineChars="0"/>
        <w:rPr>
          <w:rFonts w:hint="eastAsia" w:ascii="仿宋" w:hAnsi="仿宋" w:eastAsia="仿宋"/>
          <w:b/>
          <w:sz w:val="28"/>
          <w:szCs w:val="28"/>
        </w:rPr>
      </w:pPr>
      <w:r>
        <w:rPr>
          <w:rFonts w:ascii="仿宋" w:hAnsi="仿宋" w:eastAsia="仿宋"/>
          <w:b/>
          <w:sz w:val="28"/>
          <w:szCs w:val="28"/>
        </w:rPr>
        <w:t>越方媒体：</w:t>
      </w:r>
      <w:r>
        <w:rPr>
          <w:rFonts w:ascii="仿宋" w:hAnsi="仿宋" w:eastAsia="仿宋"/>
          <w:sz w:val="28"/>
          <w:szCs w:val="28"/>
        </w:rPr>
        <w:t>西贡新闻、西贡经济、西贡解放日报、</w:t>
      </w:r>
      <w:r>
        <w:rPr>
          <w:rFonts w:hint="eastAsia" w:ascii="仿宋" w:hAnsi="仿宋" w:eastAsia="仿宋"/>
          <w:sz w:val="28"/>
          <w:szCs w:val="28"/>
        </w:rPr>
        <w:t>胡志明市人民委员会电子信息门户、政府电子报、商业财政杂志、每日报、每日经济、企业家市场报、企业与经济等</w:t>
      </w:r>
    </w:p>
    <w:p w14:paraId="213CCFFE">
      <w:pPr>
        <w:pStyle w:val="10"/>
        <w:numPr>
          <w:ilvl w:val="0"/>
          <w:numId w:val="1"/>
        </w:numPr>
        <w:spacing w:before="156" w:beforeLines="50"/>
        <w:ind w:firstLineChars="0"/>
        <w:rPr>
          <w:rFonts w:hint="eastAsia" w:ascii="黑体" w:hAnsi="黑体" w:eastAsia="黑体"/>
          <w:b/>
          <w:sz w:val="28"/>
          <w:szCs w:val="28"/>
        </w:rPr>
      </w:pPr>
      <w:r>
        <w:rPr>
          <w:rFonts w:hint="eastAsia" w:ascii="黑体" w:hAnsi="黑体" w:eastAsia="黑体"/>
          <w:b/>
          <w:sz w:val="28"/>
          <w:szCs w:val="28"/>
        </w:rPr>
        <w:t>价格</w:t>
      </w:r>
      <w:r>
        <w:rPr>
          <w:rFonts w:hint="eastAsia" w:ascii="黑体" w:hAnsi="黑体" w:eastAsia="黑体"/>
          <w:b/>
          <w:sz w:val="28"/>
          <w:szCs w:val="28"/>
          <w:highlight w:val="yellow"/>
          <w:lang w:eastAsia="zh-CN"/>
        </w:rPr>
        <w:t>（</w:t>
      </w:r>
      <w:r>
        <w:rPr>
          <w:rFonts w:hint="eastAsia" w:ascii="黑体" w:hAnsi="黑体" w:eastAsia="黑体"/>
          <w:b/>
          <w:sz w:val="28"/>
          <w:szCs w:val="28"/>
          <w:highlight w:val="yellow"/>
          <w:lang w:val="en-US" w:eastAsia="zh-CN"/>
        </w:rPr>
        <w:t>根据平台情况选择是否放置</w:t>
      </w:r>
      <w:r>
        <w:rPr>
          <w:rFonts w:hint="eastAsia" w:ascii="黑体" w:hAnsi="黑体" w:eastAsia="黑体"/>
          <w:b/>
          <w:sz w:val="28"/>
          <w:szCs w:val="28"/>
          <w:highlight w:val="yellow"/>
          <w:lang w:eastAsia="zh-CN"/>
        </w:rPr>
        <w:t>）</w:t>
      </w:r>
    </w:p>
    <w:p w14:paraId="35040E47">
      <w:pPr>
        <w:pStyle w:val="10"/>
        <w:numPr>
          <w:ilvl w:val="0"/>
          <w:numId w:val="7"/>
        </w:numPr>
        <w:ind w:left="1260" w:hanging="420" w:firstLineChars="0"/>
        <w:rPr>
          <w:rFonts w:hint="eastAsia" w:ascii="仿宋" w:hAnsi="仿宋" w:eastAsia="仿宋"/>
          <w:b/>
          <w:sz w:val="28"/>
          <w:szCs w:val="28"/>
        </w:rPr>
      </w:pPr>
      <w:r>
        <w:rPr>
          <w:rFonts w:hint="eastAsia" w:ascii="仿宋" w:hAnsi="仿宋" w:eastAsia="仿宋"/>
          <w:b/>
          <w:sz w:val="28"/>
          <w:szCs w:val="28"/>
        </w:rPr>
        <w:t>展位价格：</w:t>
      </w:r>
    </w:p>
    <w:tbl>
      <w:tblPr>
        <w:tblStyle w:val="4"/>
        <w:tblW w:w="8505" w:type="dxa"/>
        <w:tblInd w:w="137" w:type="dxa"/>
        <w:tblLayout w:type="autofit"/>
        <w:tblCellMar>
          <w:top w:w="0" w:type="dxa"/>
          <w:left w:w="108" w:type="dxa"/>
          <w:bottom w:w="0" w:type="dxa"/>
          <w:right w:w="108" w:type="dxa"/>
        </w:tblCellMar>
      </w:tblPr>
      <w:tblGrid>
        <w:gridCol w:w="2157"/>
        <w:gridCol w:w="2174"/>
        <w:gridCol w:w="2680"/>
        <w:gridCol w:w="1494"/>
      </w:tblGrid>
      <w:tr w14:paraId="0D73BF24">
        <w:tblPrEx>
          <w:tblCellMar>
            <w:top w:w="0" w:type="dxa"/>
            <w:left w:w="108" w:type="dxa"/>
            <w:bottom w:w="0" w:type="dxa"/>
            <w:right w:w="108" w:type="dxa"/>
          </w:tblCellMar>
        </w:tblPrEx>
        <w:trPr>
          <w:trHeight w:val="465" w:hRule="atLeast"/>
        </w:trPr>
        <w:tc>
          <w:tcPr>
            <w:tcW w:w="2157" w:type="dxa"/>
            <w:tcBorders>
              <w:top w:val="single" w:color="auto" w:sz="4" w:space="0"/>
              <w:left w:val="single" w:color="auto" w:sz="4" w:space="0"/>
              <w:bottom w:val="single" w:color="auto" w:sz="4" w:space="0"/>
              <w:right w:val="single" w:color="auto" w:sz="4" w:space="0"/>
            </w:tcBorders>
            <w:shd w:val="clear" w:color="000000" w:fill="8EA9DB"/>
            <w:vAlign w:val="center"/>
          </w:tcPr>
          <w:p w14:paraId="77A48CCF">
            <w:pPr>
              <w:widowControl/>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产品</w:t>
            </w:r>
          </w:p>
        </w:tc>
        <w:tc>
          <w:tcPr>
            <w:tcW w:w="2174" w:type="dxa"/>
            <w:tcBorders>
              <w:top w:val="single" w:color="auto" w:sz="4" w:space="0"/>
              <w:left w:val="nil"/>
              <w:bottom w:val="single" w:color="auto" w:sz="4" w:space="0"/>
              <w:right w:val="single" w:color="auto" w:sz="4" w:space="0"/>
            </w:tcBorders>
            <w:shd w:val="clear" w:color="000000" w:fill="8EA9DB"/>
            <w:vAlign w:val="center"/>
          </w:tcPr>
          <w:p w14:paraId="7EBAEB4A">
            <w:pPr>
              <w:widowControl/>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价格</w:t>
            </w:r>
          </w:p>
        </w:tc>
        <w:tc>
          <w:tcPr>
            <w:tcW w:w="2680" w:type="dxa"/>
            <w:tcBorders>
              <w:top w:val="single" w:color="auto" w:sz="4" w:space="0"/>
              <w:left w:val="nil"/>
              <w:bottom w:val="single" w:color="auto" w:sz="4" w:space="0"/>
              <w:right w:val="single" w:color="auto" w:sz="4" w:space="0"/>
            </w:tcBorders>
            <w:shd w:val="clear" w:color="000000" w:fill="8EA9DB"/>
            <w:vAlign w:val="center"/>
          </w:tcPr>
          <w:p w14:paraId="63E16D18">
            <w:pPr>
              <w:widowControl/>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标准服务</w:t>
            </w:r>
          </w:p>
        </w:tc>
        <w:tc>
          <w:tcPr>
            <w:tcW w:w="1494" w:type="dxa"/>
            <w:tcBorders>
              <w:top w:val="single" w:color="auto" w:sz="4" w:space="0"/>
              <w:left w:val="nil"/>
              <w:bottom w:val="single" w:color="auto" w:sz="4" w:space="0"/>
              <w:right w:val="single" w:color="auto" w:sz="4" w:space="0"/>
            </w:tcBorders>
            <w:shd w:val="clear" w:color="000000" w:fill="8EA9DB"/>
            <w:vAlign w:val="center"/>
          </w:tcPr>
          <w:p w14:paraId="5A230B42">
            <w:pPr>
              <w:widowControl/>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参展礼遇</w:t>
            </w:r>
          </w:p>
        </w:tc>
      </w:tr>
      <w:tr w14:paraId="7B9B5897">
        <w:tblPrEx>
          <w:tblCellMar>
            <w:top w:w="0" w:type="dxa"/>
            <w:left w:w="108" w:type="dxa"/>
            <w:bottom w:w="0" w:type="dxa"/>
            <w:right w:w="108" w:type="dxa"/>
          </w:tblCellMar>
        </w:tblPrEx>
        <w:trPr>
          <w:trHeight w:val="700" w:hRule="atLeast"/>
        </w:trPr>
        <w:tc>
          <w:tcPr>
            <w:tcW w:w="2157" w:type="dxa"/>
            <w:tcBorders>
              <w:top w:val="nil"/>
              <w:left w:val="single" w:color="auto" w:sz="4" w:space="0"/>
              <w:bottom w:val="single" w:color="auto" w:sz="4" w:space="0"/>
              <w:right w:val="single" w:color="auto" w:sz="4" w:space="0"/>
            </w:tcBorders>
            <w:shd w:val="clear" w:color="auto" w:fill="auto"/>
            <w:vAlign w:val="center"/>
          </w:tcPr>
          <w:p w14:paraId="2C788B97">
            <w:pPr>
              <w:widowControl/>
              <w:jc w:val="center"/>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9㎡标摊</w:t>
            </w:r>
          </w:p>
        </w:tc>
        <w:tc>
          <w:tcPr>
            <w:tcW w:w="2174" w:type="dxa"/>
            <w:tcBorders>
              <w:top w:val="nil"/>
              <w:left w:val="nil"/>
              <w:bottom w:val="single" w:color="auto" w:sz="4" w:space="0"/>
              <w:right w:val="single" w:color="auto" w:sz="4" w:space="0"/>
            </w:tcBorders>
            <w:shd w:val="clear" w:color="auto" w:fill="auto"/>
            <w:vAlign w:val="center"/>
          </w:tcPr>
          <w:p w14:paraId="278FEC95">
            <w:pPr>
              <w:widowControl/>
              <w:jc w:val="center"/>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40000元/个</w:t>
            </w:r>
          </w:p>
        </w:tc>
        <w:tc>
          <w:tcPr>
            <w:tcW w:w="2680" w:type="dxa"/>
            <w:tcBorders>
              <w:top w:val="nil"/>
              <w:left w:val="nil"/>
              <w:bottom w:val="single" w:color="auto" w:sz="4" w:space="0"/>
              <w:right w:val="single" w:color="auto" w:sz="4" w:space="0"/>
            </w:tcBorders>
            <w:shd w:val="clear" w:color="auto" w:fill="auto"/>
            <w:vAlign w:val="center"/>
          </w:tcPr>
          <w:p w14:paraId="5773E9F8">
            <w:pPr>
              <w:widowControl/>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含楣板、咨询桌*1、椅子*2、射灯*2、地毯、插座等；</w:t>
            </w:r>
          </w:p>
        </w:tc>
        <w:tc>
          <w:tcPr>
            <w:tcW w:w="1494" w:type="dxa"/>
            <w:vMerge w:val="restart"/>
            <w:tcBorders>
              <w:top w:val="nil"/>
              <w:left w:val="nil"/>
              <w:right w:val="single" w:color="auto" w:sz="4" w:space="0"/>
            </w:tcBorders>
            <w:shd w:val="clear" w:color="auto" w:fill="auto"/>
            <w:vAlign w:val="center"/>
          </w:tcPr>
          <w:p w14:paraId="14E3A0C5">
            <w:pPr>
              <w:widowControl/>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赠送1人全程商旅</w:t>
            </w:r>
          </w:p>
        </w:tc>
      </w:tr>
      <w:tr w14:paraId="7FA5E6D2">
        <w:tblPrEx>
          <w:tblCellMar>
            <w:top w:w="0" w:type="dxa"/>
            <w:left w:w="108" w:type="dxa"/>
            <w:bottom w:w="0" w:type="dxa"/>
            <w:right w:w="108" w:type="dxa"/>
          </w:tblCellMar>
        </w:tblPrEx>
        <w:trPr>
          <w:trHeight w:val="700" w:hRule="atLeast"/>
        </w:trPr>
        <w:tc>
          <w:tcPr>
            <w:tcW w:w="2157" w:type="dxa"/>
            <w:tcBorders>
              <w:top w:val="nil"/>
              <w:left w:val="single" w:color="auto" w:sz="4" w:space="0"/>
              <w:bottom w:val="single" w:color="auto" w:sz="4" w:space="0"/>
              <w:right w:val="single" w:color="auto" w:sz="4" w:space="0"/>
            </w:tcBorders>
            <w:shd w:val="clear" w:color="auto" w:fill="auto"/>
            <w:vAlign w:val="center"/>
          </w:tcPr>
          <w:p w14:paraId="11A28D72">
            <w:pPr>
              <w:widowControl/>
              <w:jc w:val="center"/>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光地</w:t>
            </w:r>
            <w:r>
              <w:rPr>
                <w:rFonts w:hint="eastAsia" w:ascii="仿宋" w:hAnsi="仿宋" w:eastAsia="仿宋" w:cs="宋体"/>
                <w:color w:val="000000"/>
                <w:kern w:val="0"/>
                <w:sz w:val="28"/>
                <w:szCs w:val="28"/>
              </w:rPr>
              <w:br w:type="textWrapping"/>
            </w:r>
            <w:r>
              <w:rPr>
                <w:rFonts w:hint="eastAsia" w:ascii="仿宋" w:hAnsi="仿宋" w:eastAsia="仿宋" w:cs="宋体"/>
                <w:color w:val="000000"/>
                <w:kern w:val="0"/>
                <w:sz w:val="28"/>
                <w:szCs w:val="28"/>
              </w:rPr>
              <w:t>（18㎡起售）</w:t>
            </w:r>
          </w:p>
        </w:tc>
        <w:tc>
          <w:tcPr>
            <w:tcW w:w="2174" w:type="dxa"/>
            <w:tcBorders>
              <w:top w:val="nil"/>
              <w:left w:val="nil"/>
              <w:bottom w:val="single" w:color="auto" w:sz="4" w:space="0"/>
              <w:right w:val="single" w:color="auto" w:sz="4" w:space="0"/>
            </w:tcBorders>
            <w:shd w:val="clear" w:color="auto" w:fill="auto"/>
            <w:vAlign w:val="center"/>
          </w:tcPr>
          <w:p w14:paraId="24191A2B">
            <w:pPr>
              <w:widowControl/>
              <w:jc w:val="center"/>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3000元/㎡</w:t>
            </w:r>
          </w:p>
        </w:tc>
        <w:tc>
          <w:tcPr>
            <w:tcW w:w="2680" w:type="dxa"/>
            <w:tcBorders>
              <w:top w:val="nil"/>
              <w:left w:val="nil"/>
              <w:bottom w:val="single" w:color="auto" w:sz="4" w:space="0"/>
              <w:right w:val="single" w:color="auto" w:sz="4" w:space="0"/>
            </w:tcBorders>
            <w:shd w:val="clear" w:color="auto" w:fill="auto"/>
            <w:vAlign w:val="center"/>
          </w:tcPr>
          <w:p w14:paraId="720DAF98">
            <w:pPr>
              <w:widowControl/>
              <w:jc w:val="center"/>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--（搭建自理）</w:t>
            </w:r>
          </w:p>
        </w:tc>
        <w:tc>
          <w:tcPr>
            <w:tcW w:w="1494" w:type="dxa"/>
            <w:vMerge w:val="continue"/>
            <w:tcBorders>
              <w:left w:val="nil"/>
              <w:bottom w:val="single" w:color="auto" w:sz="4" w:space="0"/>
              <w:right w:val="single" w:color="auto" w:sz="4" w:space="0"/>
            </w:tcBorders>
            <w:shd w:val="clear" w:color="auto" w:fill="auto"/>
            <w:vAlign w:val="center"/>
          </w:tcPr>
          <w:p w14:paraId="12166178">
            <w:pPr>
              <w:widowControl/>
              <w:jc w:val="center"/>
              <w:rPr>
                <w:rFonts w:hint="eastAsia" w:ascii="仿宋" w:hAnsi="仿宋" w:eastAsia="仿宋" w:cs="宋体"/>
                <w:color w:val="000000"/>
                <w:kern w:val="0"/>
                <w:sz w:val="28"/>
                <w:szCs w:val="28"/>
              </w:rPr>
            </w:pPr>
          </w:p>
        </w:tc>
      </w:tr>
    </w:tbl>
    <w:p w14:paraId="1A950944">
      <w:pPr>
        <w:pStyle w:val="10"/>
        <w:ind w:left="840" w:firstLine="0" w:firstLineChars="0"/>
        <w:rPr>
          <w:rFonts w:hint="eastAsia" w:ascii="仿宋" w:hAnsi="仿宋" w:eastAsia="仿宋"/>
          <w:sz w:val="28"/>
          <w:szCs w:val="28"/>
        </w:rPr>
      </w:pPr>
    </w:p>
    <w:p w14:paraId="62913CA9">
      <w:pPr>
        <w:pStyle w:val="10"/>
        <w:numPr>
          <w:ilvl w:val="0"/>
          <w:numId w:val="7"/>
        </w:numPr>
        <w:ind w:left="1260" w:hanging="420" w:firstLineChars="0"/>
        <w:rPr>
          <w:rFonts w:hint="eastAsia" w:ascii="仿宋" w:hAnsi="仿宋" w:eastAsia="仿宋"/>
          <w:sz w:val="28"/>
          <w:szCs w:val="28"/>
        </w:rPr>
      </w:pPr>
      <w:r>
        <w:rPr>
          <w:rFonts w:ascii="仿宋" w:hAnsi="仿宋" w:eastAsia="仿宋"/>
          <w:b/>
          <w:sz w:val="28"/>
          <w:szCs w:val="28"/>
        </w:rPr>
        <w:t>商务考察价格：</w:t>
      </w:r>
      <w:r>
        <w:rPr>
          <w:rFonts w:ascii="仿宋" w:hAnsi="仿宋" w:eastAsia="仿宋"/>
          <w:sz w:val="28"/>
          <w:szCs w:val="28"/>
        </w:rPr>
        <w:t>￥</w:t>
      </w:r>
      <w:r>
        <w:rPr>
          <w:rFonts w:hint="eastAsia" w:ascii="仿宋" w:hAnsi="仿宋" w:eastAsia="仿宋"/>
          <w:sz w:val="28"/>
          <w:szCs w:val="28"/>
        </w:rPr>
        <w:t>1</w:t>
      </w:r>
      <w:r>
        <w:rPr>
          <w:rFonts w:ascii="仿宋" w:hAnsi="仿宋" w:eastAsia="仿宋"/>
          <w:sz w:val="28"/>
          <w:szCs w:val="28"/>
        </w:rPr>
        <w:t>0,000</w:t>
      </w:r>
      <w:r>
        <w:rPr>
          <w:rFonts w:hint="eastAsia" w:ascii="仿宋" w:hAnsi="仿宋" w:eastAsia="仿宋"/>
          <w:sz w:val="28"/>
          <w:szCs w:val="28"/>
        </w:rPr>
        <w:t>/人</w:t>
      </w:r>
    </w:p>
    <w:p w14:paraId="78D0F9C1">
      <w:pPr>
        <w:pStyle w:val="10"/>
        <w:ind w:left="1260" w:firstLine="0" w:firstLineChars="0"/>
        <w:rPr>
          <w:rFonts w:hint="eastAsia" w:ascii="仿宋" w:hAnsi="仿宋" w:eastAsia="仿宋"/>
          <w:sz w:val="28"/>
          <w:szCs w:val="28"/>
        </w:rPr>
      </w:pPr>
      <w:r>
        <w:rPr>
          <w:rFonts w:ascii="仿宋" w:hAnsi="仿宋" w:eastAsia="仿宋"/>
          <w:sz w:val="28"/>
          <w:szCs w:val="28"/>
        </w:rPr>
        <w:t>包含机票、酒店、地接、商务考察、当地精准资源对接。</w:t>
      </w:r>
    </w:p>
    <w:p w14:paraId="040A6391">
      <w:pPr>
        <w:pStyle w:val="10"/>
        <w:numPr>
          <w:ilvl w:val="0"/>
          <w:numId w:val="1"/>
        </w:numPr>
        <w:spacing w:before="156" w:beforeLines="50"/>
        <w:ind w:firstLineChars="0"/>
        <w:rPr>
          <w:rFonts w:hint="eastAsia" w:ascii="黑体" w:hAnsi="黑体" w:eastAsia="黑体"/>
          <w:sz w:val="28"/>
          <w:szCs w:val="28"/>
        </w:rPr>
      </w:pPr>
      <w:r>
        <w:rPr>
          <w:rFonts w:ascii="黑体" w:hAnsi="黑体" w:eastAsia="黑体"/>
          <w:sz w:val="28"/>
          <w:szCs w:val="28"/>
        </w:rPr>
        <w:t>参展补贴</w:t>
      </w:r>
    </w:p>
    <w:p w14:paraId="1D9A6E4C">
      <w:pPr>
        <w:pStyle w:val="10"/>
        <w:numPr>
          <w:ilvl w:val="1"/>
          <w:numId w:val="1"/>
        </w:numPr>
        <w:ind w:firstLineChars="0"/>
        <w:rPr>
          <w:rFonts w:hint="eastAsia" w:ascii="仿宋" w:hAnsi="仿宋" w:eastAsia="仿宋"/>
          <w:sz w:val="28"/>
          <w:szCs w:val="28"/>
        </w:rPr>
      </w:pPr>
      <w:r>
        <w:rPr>
          <w:rFonts w:ascii="仿宋" w:hAnsi="仿宋" w:eastAsia="仿宋"/>
          <w:sz w:val="28"/>
          <w:szCs w:val="28"/>
        </w:rPr>
        <w:t>广东省“粤贸全球”项目</w:t>
      </w:r>
    </w:p>
    <w:p w14:paraId="48860B10">
      <w:pPr>
        <w:pStyle w:val="10"/>
        <w:numPr>
          <w:ilvl w:val="1"/>
          <w:numId w:val="1"/>
        </w:numPr>
        <w:ind w:firstLineChars="0"/>
        <w:rPr>
          <w:rFonts w:hint="eastAsia" w:ascii="仿宋" w:hAnsi="仿宋" w:eastAsia="仿宋"/>
          <w:sz w:val="28"/>
          <w:szCs w:val="28"/>
        </w:rPr>
      </w:pPr>
      <w:r>
        <w:rPr>
          <w:rFonts w:ascii="仿宋" w:hAnsi="仿宋" w:eastAsia="仿宋"/>
          <w:sz w:val="28"/>
          <w:szCs w:val="28"/>
        </w:rPr>
        <w:t>深圳市重点境外展</w:t>
      </w:r>
    </w:p>
    <w:p w14:paraId="59633A28">
      <w:pPr>
        <w:pStyle w:val="10"/>
        <w:numPr>
          <w:ilvl w:val="0"/>
          <w:numId w:val="1"/>
        </w:numPr>
        <w:spacing w:before="156" w:beforeLines="50"/>
        <w:ind w:firstLineChars="0"/>
        <w:rPr>
          <w:rFonts w:hint="eastAsia" w:ascii="黑体" w:hAnsi="黑体" w:eastAsia="黑体"/>
          <w:sz w:val="28"/>
          <w:szCs w:val="28"/>
        </w:rPr>
      </w:pPr>
      <w:r>
        <w:rPr>
          <w:rFonts w:ascii="黑体" w:hAnsi="黑体" w:eastAsia="黑体"/>
          <w:sz w:val="28"/>
          <w:szCs w:val="28"/>
        </w:rPr>
        <w:t>联系我们</w:t>
      </w:r>
    </w:p>
    <w:p w14:paraId="4EBAE619">
      <w:pPr>
        <w:pStyle w:val="10"/>
        <w:numPr>
          <w:ilvl w:val="1"/>
          <w:numId w:val="1"/>
        </w:numPr>
        <w:ind w:firstLineChars="0"/>
        <w:rPr>
          <w:rFonts w:hint="eastAsia" w:ascii="仿宋" w:hAnsi="仿宋" w:eastAsia="仿宋"/>
          <w:sz w:val="28"/>
          <w:szCs w:val="28"/>
        </w:rPr>
      </w:pPr>
      <w:r>
        <w:rPr>
          <w:rFonts w:ascii="仿宋" w:hAnsi="仿宋" w:eastAsia="仿宋"/>
          <w:sz w:val="28"/>
          <w:szCs w:val="28"/>
        </w:rPr>
        <w:t>参展</w:t>
      </w:r>
      <w:r>
        <w:rPr>
          <w:rFonts w:hint="eastAsia" w:ascii="仿宋" w:hAnsi="仿宋" w:eastAsia="仿宋"/>
          <w:sz w:val="28"/>
          <w:szCs w:val="28"/>
        </w:rPr>
        <w:t>/观展</w:t>
      </w:r>
      <w:r>
        <w:rPr>
          <w:rFonts w:ascii="仿宋" w:hAnsi="仿宋" w:eastAsia="仿宋"/>
          <w:sz w:val="28"/>
          <w:szCs w:val="28"/>
        </w:rPr>
        <w:t>报名：</w:t>
      </w:r>
      <w:r>
        <w:rPr>
          <w:rFonts w:hint="eastAsia" w:ascii="仿宋" w:hAnsi="仿宋" w:eastAsia="仿宋"/>
          <w:sz w:val="28"/>
          <w:szCs w:val="28"/>
          <w:lang w:val="en-US" w:eastAsia="zh-CN"/>
        </w:rPr>
        <w:t>曾女士</w:t>
      </w:r>
      <w:r>
        <w:rPr>
          <w:rFonts w:hint="eastAsia" w:ascii="仿宋" w:hAnsi="仿宋" w:eastAsia="仿宋"/>
          <w:sz w:val="28"/>
          <w:szCs w:val="28"/>
        </w:rPr>
        <w:t xml:space="preserve"> </w:t>
      </w:r>
      <w:r>
        <w:rPr>
          <w:rFonts w:ascii="仿宋" w:hAnsi="仿宋" w:eastAsia="仿宋"/>
          <w:sz w:val="28"/>
          <w:szCs w:val="28"/>
        </w:rPr>
        <w:t>1</w:t>
      </w:r>
      <w:r>
        <w:rPr>
          <w:rFonts w:hint="eastAsia" w:ascii="仿宋" w:hAnsi="仿宋" w:eastAsia="仿宋"/>
          <w:sz w:val="28"/>
          <w:szCs w:val="28"/>
          <w:lang w:val="en-US" w:eastAsia="zh-CN"/>
        </w:rPr>
        <w:t>9924640305</w:t>
      </w:r>
    </w:p>
    <w:p w14:paraId="731A378D">
      <w:pPr>
        <w:pStyle w:val="10"/>
        <w:numPr>
          <w:ilvl w:val="1"/>
          <w:numId w:val="1"/>
        </w:numPr>
        <w:ind w:firstLineChars="0"/>
        <w:rPr>
          <w:rFonts w:hint="eastAsia" w:ascii="仿宋" w:hAnsi="仿宋" w:eastAsia="仿宋"/>
          <w:sz w:val="28"/>
          <w:szCs w:val="28"/>
        </w:rPr>
      </w:pPr>
      <w:r>
        <w:rPr>
          <w:rFonts w:ascii="仿宋" w:hAnsi="仿宋" w:eastAsia="仿宋"/>
          <w:sz w:val="28"/>
          <w:szCs w:val="28"/>
        </w:rPr>
        <w:t>商务及论坛合作：郭女士</w:t>
      </w:r>
      <w:r>
        <w:rPr>
          <w:rFonts w:hint="eastAsia" w:ascii="仿宋" w:hAnsi="仿宋" w:eastAsia="仿宋"/>
          <w:sz w:val="28"/>
          <w:szCs w:val="28"/>
        </w:rPr>
        <w:t xml:space="preserve"> </w:t>
      </w:r>
      <w:r>
        <w:rPr>
          <w:rFonts w:ascii="仿宋" w:hAnsi="仿宋" w:eastAsia="仿宋"/>
          <w:sz w:val="28"/>
          <w:szCs w:val="28"/>
        </w:rPr>
        <w:t>18688012473</w:t>
      </w:r>
    </w:p>
    <w:p w14:paraId="4FD220B2">
      <w:pPr>
        <w:pStyle w:val="10"/>
        <w:numPr>
          <w:ilvl w:val="1"/>
          <w:numId w:val="1"/>
        </w:numPr>
        <w:ind w:firstLineChars="0"/>
        <w:rPr>
          <w:rFonts w:hint="eastAsia" w:ascii="仿宋" w:hAnsi="仿宋" w:eastAsia="仿宋"/>
          <w:sz w:val="28"/>
          <w:szCs w:val="28"/>
        </w:rPr>
      </w:pPr>
      <w:r>
        <w:rPr>
          <w:rFonts w:ascii="仿宋" w:hAnsi="仿宋" w:eastAsia="仿宋"/>
          <w:sz w:val="28"/>
          <w:szCs w:val="28"/>
        </w:rPr>
        <w:t>公司地址：广东省广州市越秀区环市东路华信中心</w:t>
      </w:r>
      <w:r>
        <w:rPr>
          <w:rFonts w:hint="eastAsia" w:ascii="仿宋" w:hAnsi="仿宋" w:eastAsia="仿宋"/>
          <w:sz w:val="28"/>
          <w:szCs w:val="28"/>
        </w:rPr>
        <w:t>8</w:t>
      </w:r>
      <w:r>
        <w:rPr>
          <w:rFonts w:ascii="仿宋" w:hAnsi="仿宋" w:eastAsia="仿宋"/>
          <w:sz w:val="28"/>
          <w:szCs w:val="28"/>
        </w:rPr>
        <w:t>05</w:t>
      </w:r>
    </w:p>
    <w:p w14:paraId="4B3D2BE6">
      <w:pPr>
        <w:pStyle w:val="10"/>
        <w:ind w:left="840" w:firstLine="0" w:firstLineChars="0"/>
        <w:rPr>
          <w:rFonts w:hint="eastAsia" w:ascii="仿宋" w:hAnsi="仿宋" w:eastAsia="仿宋"/>
          <w:sz w:val="28"/>
          <w:szCs w:val="28"/>
        </w:rPr>
      </w:pPr>
      <w:r>
        <w:rPr>
          <w:rFonts w:ascii="仿宋" w:hAnsi="仿宋" w:eastAsia="仿宋"/>
          <w:sz w:val="28"/>
          <w:szCs w:val="28"/>
        </w:rPr>
        <w:t xml:space="preserve">        广东省深圳市南山区高新南八路博泰工勘大厦</w:t>
      </w:r>
      <w:r>
        <w:rPr>
          <w:rFonts w:hint="eastAsia" w:ascii="仿宋" w:hAnsi="仿宋" w:eastAsia="仿宋"/>
          <w:sz w:val="28"/>
          <w:szCs w:val="28"/>
        </w:rPr>
        <w:t>2</w:t>
      </w:r>
      <w:r>
        <w:rPr>
          <w:rFonts w:ascii="仿宋" w:hAnsi="仿宋" w:eastAsia="仿宋"/>
          <w:sz w:val="28"/>
          <w:szCs w:val="28"/>
        </w:rPr>
        <w:t>4层</w:t>
      </w:r>
    </w:p>
    <w:p w14:paraId="04C9EB3A">
      <w:pPr>
        <w:pStyle w:val="10"/>
        <w:numPr>
          <w:ilvl w:val="1"/>
          <w:numId w:val="1"/>
        </w:numPr>
        <w:ind w:firstLineChars="0"/>
        <w:rPr>
          <w:rFonts w:hint="eastAsia" w:ascii="仿宋" w:hAnsi="仿宋" w:eastAsia="仿宋"/>
          <w:sz w:val="28"/>
          <w:szCs w:val="28"/>
        </w:rPr>
      </w:pPr>
      <w:r>
        <w:rPr>
          <w:rFonts w:ascii="仿宋" w:hAnsi="仿宋" w:eastAsia="仿宋"/>
          <w:sz w:val="28"/>
          <w:szCs w:val="28"/>
        </w:rPr>
        <w:t>官网、公众号、客服微信号、官网</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701"/>
        <w:gridCol w:w="1560"/>
        <w:gridCol w:w="1701"/>
        <w:gridCol w:w="1638"/>
      </w:tblGrid>
      <w:tr w14:paraId="4A3D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5"/>
            <w:vAlign w:val="center"/>
          </w:tcPr>
          <w:p w14:paraId="5151CD49">
            <w:pPr>
              <w:rPr>
                <w:rFonts w:ascii="Arial" w:hAnsi="Arial" w:eastAsia="宋体" w:cs="Arial"/>
                <w:szCs w:val="21"/>
              </w:rPr>
            </w:pPr>
            <w:r>
              <w:rPr>
                <w:rFonts w:ascii="Arial" w:hAnsi="Arial" w:eastAsia="宋体" w:cs="Arial"/>
                <w:szCs w:val="21"/>
              </w:rPr>
              <w:t>官方网址：</w:t>
            </w:r>
            <w:r>
              <w:fldChar w:fldCharType="begin"/>
            </w:r>
            <w:r>
              <w:instrText xml:space="preserve"> HYPERLINK "https://vn.itoegd.com" </w:instrText>
            </w:r>
            <w:r>
              <w:fldChar w:fldCharType="separate"/>
            </w:r>
            <w:r>
              <w:rPr>
                <w:rFonts w:ascii="Arial" w:hAnsi="Arial" w:eastAsia="宋体" w:cs="Arial"/>
                <w:szCs w:val="21"/>
              </w:rPr>
              <w:t>https://vn.itoegd.com</w:t>
            </w:r>
            <w:r>
              <w:rPr>
                <w:rFonts w:ascii="Arial" w:hAnsi="Arial" w:eastAsia="宋体" w:cs="Arial"/>
                <w:szCs w:val="21"/>
              </w:rPr>
              <w:fldChar w:fldCharType="end"/>
            </w:r>
          </w:p>
        </w:tc>
      </w:tr>
      <w:tr w14:paraId="4D85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1696" w:type="dxa"/>
            <w:vAlign w:val="center"/>
          </w:tcPr>
          <w:p w14:paraId="2D9B3795">
            <w:pPr>
              <w:jc w:val="center"/>
              <w:rPr>
                <w:rFonts w:ascii="Arial" w:hAnsi="Arial" w:eastAsia="宋体" w:cs="Arial"/>
                <w:szCs w:val="21"/>
              </w:rPr>
            </w:pPr>
            <w:r>
              <w:rPr>
                <w:rFonts w:ascii="Arial" w:hAnsi="Arial" w:eastAsia="宋体" w:cs="Arial"/>
                <w:szCs w:val="21"/>
              </w:rPr>
              <w:drawing>
                <wp:inline distT="0" distB="0" distL="114300" distR="114300">
                  <wp:extent cx="695960" cy="695960"/>
                  <wp:effectExtent l="0" t="0" r="5080" b="5080"/>
                  <wp:docPr id="4" name="图片 4" descr="广展出海 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广展出海 公众号二维码"/>
                          <pic:cNvPicPr>
                            <a:picLocks noChangeAspect="1"/>
                          </pic:cNvPicPr>
                        </pic:nvPicPr>
                        <pic:blipFill>
                          <a:blip r:embed="rId14"/>
                          <a:stretch>
                            <a:fillRect/>
                          </a:stretch>
                        </pic:blipFill>
                        <pic:spPr>
                          <a:xfrm>
                            <a:off x="0" y="0"/>
                            <a:ext cx="695960" cy="695960"/>
                          </a:xfrm>
                          <a:prstGeom prst="rect">
                            <a:avLst/>
                          </a:prstGeom>
                        </pic:spPr>
                      </pic:pic>
                    </a:graphicData>
                  </a:graphic>
                </wp:inline>
              </w:drawing>
            </w:r>
          </w:p>
          <w:p w14:paraId="36B027B2">
            <w:pPr>
              <w:jc w:val="center"/>
              <w:rPr>
                <w:rFonts w:ascii="Arial" w:hAnsi="Arial" w:eastAsia="宋体" w:cs="Arial"/>
                <w:szCs w:val="21"/>
              </w:rPr>
            </w:pPr>
            <w:r>
              <w:rPr>
                <w:rFonts w:ascii="Arial" w:hAnsi="Arial" w:eastAsia="宋体" w:cs="Arial"/>
                <w:szCs w:val="21"/>
              </w:rPr>
              <w:t>公众号</w:t>
            </w:r>
          </w:p>
        </w:tc>
        <w:tc>
          <w:tcPr>
            <w:tcW w:w="1701" w:type="dxa"/>
            <w:vAlign w:val="center"/>
          </w:tcPr>
          <w:p w14:paraId="1EEFA5F7">
            <w:pPr>
              <w:jc w:val="center"/>
              <w:rPr>
                <w:rFonts w:ascii="Arial" w:hAnsi="Arial" w:eastAsia="宋体" w:cs="Arial"/>
                <w:szCs w:val="21"/>
              </w:rPr>
            </w:pPr>
            <w:r>
              <w:rPr>
                <w:rFonts w:ascii="Arial" w:hAnsi="Arial" w:eastAsia="宋体" w:cs="Arial"/>
                <w:szCs w:val="21"/>
              </w:rPr>
              <w:drawing>
                <wp:inline distT="0" distB="0" distL="0" distR="0">
                  <wp:extent cx="718185" cy="719455"/>
                  <wp:effectExtent l="0" t="0" r="1333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l="26990" t="23617" r="26823" b="11549"/>
                          <a:stretch>
                            <a:fillRect/>
                          </a:stretch>
                        </pic:blipFill>
                        <pic:spPr>
                          <a:xfrm>
                            <a:off x="0" y="0"/>
                            <a:ext cx="718185" cy="719455"/>
                          </a:xfrm>
                          <a:prstGeom prst="rect">
                            <a:avLst/>
                          </a:prstGeom>
                          <a:noFill/>
                          <a:ln>
                            <a:noFill/>
                          </a:ln>
                        </pic:spPr>
                      </pic:pic>
                    </a:graphicData>
                  </a:graphic>
                </wp:inline>
              </w:drawing>
            </w:r>
          </w:p>
          <w:p w14:paraId="6ABEC773">
            <w:pPr>
              <w:jc w:val="center"/>
              <w:rPr>
                <w:rFonts w:ascii="Arial" w:hAnsi="Arial" w:eastAsia="宋体" w:cs="Arial"/>
                <w:szCs w:val="21"/>
              </w:rPr>
            </w:pPr>
            <w:r>
              <w:rPr>
                <w:rFonts w:ascii="Arial" w:hAnsi="Arial" w:eastAsia="宋体" w:cs="Arial"/>
                <w:szCs w:val="21"/>
              </w:rPr>
              <w:t>微信视频号</w:t>
            </w:r>
          </w:p>
        </w:tc>
        <w:tc>
          <w:tcPr>
            <w:tcW w:w="1560" w:type="dxa"/>
            <w:vAlign w:val="center"/>
          </w:tcPr>
          <w:p w14:paraId="33F674FF">
            <w:pPr>
              <w:jc w:val="center"/>
              <w:rPr>
                <w:rFonts w:ascii="Arial" w:hAnsi="Arial" w:eastAsia="宋体" w:cs="Arial"/>
                <w:szCs w:val="21"/>
              </w:rPr>
            </w:pPr>
            <w:r>
              <w:drawing>
                <wp:inline distT="0" distB="0" distL="114300" distR="114300">
                  <wp:extent cx="720090" cy="720090"/>
                  <wp:effectExtent l="0" t="0" r="11430" b="1143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6"/>
                          <a:stretch>
                            <a:fillRect/>
                          </a:stretch>
                        </pic:blipFill>
                        <pic:spPr>
                          <a:xfrm>
                            <a:off x="0" y="0"/>
                            <a:ext cx="720090" cy="720090"/>
                          </a:xfrm>
                          <a:prstGeom prst="rect">
                            <a:avLst/>
                          </a:prstGeom>
                          <a:noFill/>
                          <a:ln>
                            <a:noFill/>
                          </a:ln>
                        </pic:spPr>
                      </pic:pic>
                    </a:graphicData>
                  </a:graphic>
                </wp:inline>
              </w:drawing>
            </w:r>
          </w:p>
          <w:p w14:paraId="10F33BE6">
            <w:pPr>
              <w:jc w:val="center"/>
              <w:rPr>
                <w:rFonts w:ascii="Arial" w:hAnsi="Arial" w:eastAsia="宋体" w:cs="Arial"/>
                <w:szCs w:val="21"/>
              </w:rPr>
            </w:pPr>
            <w:r>
              <w:rPr>
                <w:rFonts w:hint="eastAsia" w:ascii="Arial" w:hAnsi="Arial" w:eastAsia="宋体" w:cs="Arial"/>
                <w:szCs w:val="21"/>
              </w:rPr>
              <w:t>抖音号</w:t>
            </w:r>
          </w:p>
        </w:tc>
        <w:tc>
          <w:tcPr>
            <w:tcW w:w="1701" w:type="dxa"/>
            <w:vAlign w:val="center"/>
          </w:tcPr>
          <w:p w14:paraId="5E4D9130">
            <w:pPr>
              <w:jc w:val="center"/>
              <w:rPr>
                <w:rFonts w:ascii="Arial" w:hAnsi="Arial" w:eastAsia="宋体" w:cs="Arial"/>
                <w:szCs w:val="21"/>
              </w:rPr>
            </w:pPr>
            <w:r>
              <w:rPr>
                <w:rFonts w:ascii="Arial" w:hAnsi="Arial" w:eastAsia="宋体" w:cs="Arial"/>
                <w:szCs w:val="21"/>
              </w:rPr>
              <w:drawing>
                <wp:inline distT="0" distB="0" distL="114300" distR="114300">
                  <wp:extent cx="720090" cy="720090"/>
                  <wp:effectExtent l="0" t="0" r="11430" b="11430"/>
                  <wp:docPr id="7" name="图片 7" descr="D:/Yvonne/社媒平台/FACEBOOK/FB主页-越南.pngFB主页-越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Yvonne/社媒平台/FACEBOOK/FB主页-越南.pngFB主页-越南"/>
                          <pic:cNvPicPr>
                            <a:picLocks noChangeAspect="1"/>
                          </pic:cNvPicPr>
                        </pic:nvPicPr>
                        <pic:blipFill>
                          <a:blip r:embed="rId17"/>
                          <a:srcRect t="44" b="44"/>
                          <a:stretch>
                            <a:fillRect/>
                          </a:stretch>
                        </pic:blipFill>
                        <pic:spPr>
                          <a:xfrm>
                            <a:off x="0" y="0"/>
                            <a:ext cx="720090" cy="720090"/>
                          </a:xfrm>
                          <a:prstGeom prst="rect">
                            <a:avLst/>
                          </a:prstGeom>
                        </pic:spPr>
                      </pic:pic>
                    </a:graphicData>
                  </a:graphic>
                </wp:inline>
              </w:drawing>
            </w:r>
          </w:p>
          <w:p w14:paraId="60C7C5D6">
            <w:pPr>
              <w:jc w:val="center"/>
              <w:rPr>
                <w:rFonts w:ascii="Arial" w:hAnsi="Arial" w:eastAsia="宋体" w:cs="Arial"/>
                <w:szCs w:val="21"/>
              </w:rPr>
            </w:pPr>
            <w:r>
              <w:rPr>
                <w:rFonts w:ascii="Arial" w:hAnsi="Arial" w:eastAsia="宋体" w:cs="Arial"/>
                <w:szCs w:val="21"/>
              </w:rPr>
              <w:t>Facebook</w:t>
            </w:r>
          </w:p>
        </w:tc>
        <w:tc>
          <w:tcPr>
            <w:tcW w:w="1638" w:type="dxa"/>
            <w:vAlign w:val="center"/>
          </w:tcPr>
          <w:p w14:paraId="6AFD960E">
            <w:pPr>
              <w:jc w:val="center"/>
              <w:rPr>
                <w:rFonts w:ascii="Arial" w:hAnsi="Arial" w:eastAsia="宋体" w:cs="Arial"/>
                <w:szCs w:val="21"/>
              </w:rPr>
            </w:pPr>
            <w:r>
              <w:drawing>
                <wp:inline distT="0" distB="0" distL="114300" distR="114300">
                  <wp:extent cx="808990" cy="756285"/>
                  <wp:effectExtent l="0" t="0" r="13970"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a:stretch>
                            <a:fillRect/>
                          </a:stretch>
                        </pic:blipFill>
                        <pic:spPr>
                          <a:xfrm>
                            <a:off x="0" y="0"/>
                            <a:ext cx="808990" cy="756285"/>
                          </a:xfrm>
                          <a:prstGeom prst="rect">
                            <a:avLst/>
                          </a:prstGeom>
                          <a:noFill/>
                          <a:ln>
                            <a:noFill/>
                          </a:ln>
                        </pic:spPr>
                      </pic:pic>
                    </a:graphicData>
                  </a:graphic>
                </wp:inline>
              </w:drawing>
            </w:r>
          </w:p>
          <w:p w14:paraId="1D7285D5">
            <w:pPr>
              <w:jc w:val="center"/>
              <w:rPr>
                <w:rFonts w:ascii="Arial" w:hAnsi="Arial" w:eastAsia="宋体" w:cs="Arial"/>
                <w:szCs w:val="21"/>
              </w:rPr>
            </w:pPr>
            <w:r>
              <w:rPr>
                <w:rFonts w:ascii="Arial" w:hAnsi="Arial" w:eastAsia="宋体" w:cs="Arial"/>
                <w:szCs w:val="21"/>
              </w:rPr>
              <w:t>I</w:t>
            </w:r>
            <w:r>
              <w:rPr>
                <w:rFonts w:hint="eastAsia" w:ascii="Arial" w:hAnsi="Arial" w:eastAsia="宋体" w:cs="Arial"/>
                <w:szCs w:val="21"/>
              </w:rPr>
              <w:t>nstagram</w:t>
            </w:r>
          </w:p>
        </w:tc>
      </w:tr>
    </w:tbl>
    <w:p w14:paraId="02A45732">
      <w:pPr>
        <w:pStyle w:val="10"/>
        <w:numPr>
          <w:ilvl w:val="0"/>
          <w:numId w:val="1"/>
        </w:numPr>
        <w:spacing w:before="156" w:beforeLines="50"/>
        <w:ind w:firstLineChars="0"/>
        <w:rPr>
          <w:rFonts w:hint="eastAsia" w:ascii="黑体" w:hAnsi="黑体" w:eastAsia="黑体"/>
          <w:sz w:val="28"/>
          <w:szCs w:val="28"/>
        </w:rPr>
      </w:pPr>
      <w:r>
        <w:rPr>
          <w:rFonts w:hint="eastAsia" w:ascii="黑体" w:hAnsi="黑体" w:eastAsia="黑体"/>
          <w:sz w:val="28"/>
          <w:szCs w:val="28"/>
        </w:rPr>
        <w:t>往届展会资料</w:t>
      </w:r>
    </w:p>
    <w:p w14:paraId="75B1D494">
      <w:pPr>
        <w:pStyle w:val="10"/>
        <w:spacing w:before="156" w:beforeLines="50"/>
        <w:ind w:firstLineChars="0"/>
        <w:rPr>
          <w:rFonts w:hint="eastAsia" w:ascii="仿宋" w:hAnsi="仿宋" w:eastAsia="仿宋" w:cs="仿宋"/>
          <w:sz w:val="24"/>
          <w:szCs w:val="24"/>
        </w:rPr>
      </w:pPr>
      <w:r>
        <w:rPr>
          <w:rFonts w:hint="eastAsia" w:ascii="仿宋" w:hAnsi="仿宋" w:eastAsia="仿宋" w:cs="仿宋"/>
          <w:sz w:val="24"/>
          <w:szCs w:val="24"/>
        </w:rPr>
        <w:t>扫码查看历届展会成效：</w:t>
      </w:r>
      <w:bookmarkStart w:id="5" w:name="_GoBack"/>
      <w:bookmarkEnd w:id="5"/>
    </w:p>
    <w:tbl>
      <w:tblPr>
        <w:tblStyle w:val="5"/>
        <w:tblpPr w:leftFromText="180" w:rightFromText="180" w:vertAnchor="text" w:horzAnchor="page" w:tblpX="2353"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701"/>
        <w:gridCol w:w="1701"/>
      </w:tblGrid>
      <w:tr w14:paraId="3037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1696" w:type="dxa"/>
            <w:vAlign w:val="center"/>
          </w:tcPr>
          <w:p w14:paraId="4235338B">
            <w:pPr>
              <w:jc w:val="center"/>
              <w:rPr>
                <w:rFonts w:ascii="Arial" w:hAnsi="Arial" w:eastAsia="宋体" w:cs="Arial"/>
                <w:szCs w:val="21"/>
              </w:rPr>
            </w:pPr>
            <w:r>
              <w:rPr>
                <w:rFonts w:ascii="Arial" w:hAnsi="Arial" w:eastAsia="宋体" w:cs="Arial"/>
                <w:szCs w:val="21"/>
              </w:rPr>
              <w:drawing>
                <wp:inline distT="0" distB="0" distL="114300" distR="114300">
                  <wp:extent cx="695960" cy="695960"/>
                  <wp:effectExtent l="0" t="0" r="5080" b="5080"/>
                  <wp:docPr id="6" name="图片 6" descr="C:/Users/PC/Downloads/第一届侨交会（越南）智能科技展展后报告.png第一届侨交会（越南）智能科技展展后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PC/Downloads/第一届侨交会（越南）智能科技展展后报告.png第一届侨交会（越南）智能科技展展后报告"/>
                          <pic:cNvPicPr>
                            <a:picLocks noChangeAspect="1"/>
                          </pic:cNvPicPr>
                        </pic:nvPicPr>
                        <pic:blipFill>
                          <a:blip r:embed="rId19"/>
                          <a:srcRect/>
                          <a:stretch>
                            <a:fillRect/>
                          </a:stretch>
                        </pic:blipFill>
                        <pic:spPr>
                          <a:xfrm>
                            <a:off x="0" y="0"/>
                            <a:ext cx="695960" cy="695960"/>
                          </a:xfrm>
                          <a:prstGeom prst="rect">
                            <a:avLst/>
                          </a:prstGeom>
                        </pic:spPr>
                      </pic:pic>
                    </a:graphicData>
                  </a:graphic>
                </wp:inline>
              </w:drawing>
            </w:r>
          </w:p>
          <w:p w14:paraId="0E073D22">
            <w:pPr>
              <w:jc w:val="center"/>
              <w:rPr>
                <w:rFonts w:ascii="Arial" w:hAnsi="Arial" w:eastAsia="宋体" w:cs="Arial"/>
                <w:szCs w:val="21"/>
              </w:rPr>
            </w:pPr>
            <w:r>
              <w:rPr>
                <w:rFonts w:hint="eastAsia" w:ascii="Arial" w:hAnsi="Arial" w:eastAsia="宋体" w:cs="Arial"/>
                <w:szCs w:val="21"/>
              </w:rPr>
              <w:t>第一届越南展</w:t>
            </w:r>
          </w:p>
          <w:p w14:paraId="46C0E877">
            <w:pPr>
              <w:jc w:val="center"/>
              <w:rPr>
                <w:rFonts w:ascii="Arial" w:hAnsi="Arial" w:eastAsia="宋体" w:cs="Arial"/>
                <w:szCs w:val="21"/>
              </w:rPr>
            </w:pPr>
            <w:r>
              <w:rPr>
                <w:rFonts w:hint="eastAsia" w:ascii="Arial" w:hAnsi="Arial" w:eastAsia="宋体" w:cs="Arial"/>
                <w:szCs w:val="21"/>
              </w:rPr>
              <w:t>展后报告</w:t>
            </w:r>
          </w:p>
        </w:tc>
        <w:tc>
          <w:tcPr>
            <w:tcW w:w="1701" w:type="dxa"/>
            <w:vAlign w:val="center"/>
          </w:tcPr>
          <w:p w14:paraId="71A2F006">
            <w:pPr>
              <w:jc w:val="center"/>
              <w:rPr>
                <w:rFonts w:ascii="Arial" w:hAnsi="Arial" w:eastAsia="宋体" w:cs="Arial"/>
                <w:szCs w:val="21"/>
              </w:rPr>
            </w:pPr>
            <w:r>
              <w:rPr>
                <w:rFonts w:ascii="Arial" w:hAnsi="Arial" w:eastAsia="宋体" w:cs="Arial"/>
                <w:szCs w:val="21"/>
              </w:rPr>
              <w:drawing>
                <wp:inline distT="0" distB="0" distL="0" distR="0">
                  <wp:extent cx="733425" cy="719455"/>
                  <wp:effectExtent l="0" t="0" r="13335" b="12065"/>
                  <wp:docPr id="16" name="图片 1" descr="C:/Users/PC/Downloads/2024越南展-展后报告.png2024越南展-展后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PC/Downloads/2024越南展-展后报告.png2024越南展-展后报告"/>
                          <pic:cNvPicPr>
                            <a:picLocks noChangeAspect="1" noChangeArrowheads="1"/>
                          </pic:cNvPicPr>
                        </pic:nvPicPr>
                        <pic:blipFill>
                          <a:blip r:embed="rId20"/>
                          <a:srcRect t="996" b="996"/>
                          <a:stretch>
                            <a:fillRect/>
                          </a:stretch>
                        </pic:blipFill>
                        <pic:spPr>
                          <a:xfrm>
                            <a:off x="0" y="0"/>
                            <a:ext cx="733425" cy="719455"/>
                          </a:xfrm>
                          <a:prstGeom prst="rect">
                            <a:avLst/>
                          </a:prstGeom>
                          <a:noFill/>
                          <a:ln>
                            <a:noFill/>
                          </a:ln>
                        </pic:spPr>
                      </pic:pic>
                    </a:graphicData>
                  </a:graphic>
                </wp:inline>
              </w:drawing>
            </w:r>
          </w:p>
          <w:p w14:paraId="12DF0B5F">
            <w:pPr>
              <w:jc w:val="center"/>
              <w:rPr>
                <w:rFonts w:ascii="Arial" w:hAnsi="Arial" w:eastAsia="宋体" w:cs="Arial"/>
                <w:szCs w:val="21"/>
              </w:rPr>
            </w:pPr>
            <w:r>
              <w:rPr>
                <w:rFonts w:hint="eastAsia" w:ascii="Arial" w:hAnsi="Arial" w:eastAsia="宋体" w:cs="Arial"/>
                <w:szCs w:val="21"/>
              </w:rPr>
              <w:t>第二届越南展</w:t>
            </w:r>
          </w:p>
          <w:p w14:paraId="11C3F24A">
            <w:pPr>
              <w:jc w:val="center"/>
              <w:rPr>
                <w:rFonts w:ascii="Arial" w:hAnsi="Arial" w:eastAsia="宋体" w:cs="Arial"/>
                <w:szCs w:val="21"/>
              </w:rPr>
            </w:pPr>
            <w:r>
              <w:rPr>
                <w:rFonts w:hint="eastAsia" w:ascii="Arial" w:hAnsi="Arial" w:eastAsia="宋体" w:cs="Arial"/>
                <w:szCs w:val="21"/>
              </w:rPr>
              <w:t>展后报告</w:t>
            </w:r>
          </w:p>
        </w:tc>
        <w:tc>
          <w:tcPr>
            <w:tcW w:w="1701" w:type="dxa"/>
            <w:vAlign w:val="center"/>
          </w:tcPr>
          <w:p w14:paraId="2532ABE5">
            <w:pPr>
              <w:jc w:val="center"/>
              <w:rPr>
                <w:rFonts w:ascii="Arial" w:hAnsi="Arial" w:eastAsia="宋体" w:cs="Arial"/>
                <w:szCs w:val="21"/>
              </w:rPr>
            </w:pPr>
            <w:r>
              <w:rPr>
                <w:rFonts w:ascii="Arial" w:hAnsi="Arial" w:eastAsia="宋体" w:cs="Arial"/>
                <w:szCs w:val="21"/>
              </w:rPr>
              <w:drawing>
                <wp:inline distT="0" distB="0" distL="114300" distR="114300">
                  <wp:extent cx="695960" cy="695960"/>
                  <wp:effectExtent l="0" t="0" r="5080" b="5080"/>
                  <wp:docPr id="17" name="图片 17" descr="C:/Users/PC/Downloads/2024越南展-图片直播.png2024越南展-图片直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PC/Downloads/2024越南展-图片直播.png2024越南展-图片直播"/>
                          <pic:cNvPicPr>
                            <a:picLocks noChangeAspect="1"/>
                          </pic:cNvPicPr>
                        </pic:nvPicPr>
                        <pic:blipFill>
                          <a:blip r:embed="rId21"/>
                          <a:srcRect/>
                          <a:stretch>
                            <a:fillRect/>
                          </a:stretch>
                        </pic:blipFill>
                        <pic:spPr>
                          <a:xfrm>
                            <a:off x="0" y="0"/>
                            <a:ext cx="695960" cy="695960"/>
                          </a:xfrm>
                          <a:prstGeom prst="rect">
                            <a:avLst/>
                          </a:prstGeom>
                        </pic:spPr>
                      </pic:pic>
                    </a:graphicData>
                  </a:graphic>
                </wp:inline>
              </w:drawing>
            </w:r>
          </w:p>
          <w:p w14:paraId="23F92DB6">
            <w:pPr>
              <w:jc w:val="center"/>
              <w:rPr>
                <w:rFonts w:ascii="Arial" w:hAnsi="Arial" w:eastAsia="宋体" w:cs="Arial"/>
                <w:szCs w:val="21"/>
              </w:rPr>
            </w:pPr>
            <w:r>
              <w:rPr>
                <w:rFonts w:hint="eastAsia" w:ascii="Arial" w:hAnsi="Arial" w:eastAsia="宋体" w:cs="Arial"/>
                <w:szCs w:val="21"/>
              </w:rPr>
              <w:t>第二届越南展</w:t>
            </w:r>
          </w:p>
          <w:p w14:paraId="295B5777">
            <w:pPr>
              <w:jc w:val="center"/>
              <w:rPr>
                <w:rFonts w:ascii="Arial" w:hAnsi="Arial" w:eastAsia="宋体" w:cs="Arial"/>
                <w:szCs w:val="21"/>
              </w:rPr>
            </w:pPr>
            <w:r>
              <w:rPr>
                <w:rFonts w:hint="eastAsia" w:ascii="Arial" w:hAnsi="Arial" w:eastAsia="宋体" w:cs="Arial"/>
                <w:szCs w:val="21"/>
              </w:rPr>
              <w:t>现场图片</w:t>
            </w:r>
          </w:p>
        </w:tc>
      </w:tr>
    </w:tbl>
    <w:p w14:paraId="51CB811C">
      <w:pPr>
        <w:rPr>
          <w:rFonts w:hint="eastAsia" w:ascii="仿宋" w:hAnsi="仿宋" w:eastAsia="仿宋"/>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885999"/>
    </w:sdtPr>
    <w:sdtContent>
      <w:sdt>
        <w:sdtPr>
          <w:id w:val="1728636285"/>
        </w:sdtPr>
        <w:sdtContent>
          <w:p w14:paraId="5CD36C74">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14:paraId="35F4829F">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4561B"/>
    <w:multiLevelType w:val="singleLevel"/>
    <w:tmpl w:val="DE54561B"/>
    <w:lvl w:ilvl="0" w:tentative="0">
      <w:start w:val="1"/>
      <w:numFmt w:val="decimal"/>
      <w:lvlText w:val="%1."/>
      <w:lvlJc w:val="left"/>
      <w:pPr>
        <w:ind w:left="425" w:hanging="425"/>
      </w:pPr>
      <w:rPr>
        <w:rFonts w:hint="default"/>
        <w:b/>
        <w:bCs/>
      </w:rPr>
    </w:lvl>
  </w:abstractNum>
  <w:abstractNum w:abstractNumId="1">
    <w:nsid w:val="09633FEC"/>
    <w:multiLevelType w:val="multilevel"/>
    <w:tmpl w:val="09633FEC"/>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
    <w:nsid w:val="0A337430"/>
    <w:multiLevelType w:val="multilevel"/>
    <w:tmpl w:val="0A33743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7617048"/>
    <w:multiLevelType w:val="multilevel"/>
    <w:tmpl w:val="57617048"/>
    <w:lvl w:ilvl="0" w:tentative="0">
      <w:start w:val="1"/>
      <w:numFmt w:val="japaneseCounting"/>
      <w:lvlText w:val="%1、"/>
      <w:lvlJc w:val="left"/>
      <w:pPr>
        <w:ind w:left="720" w:hanging="720"/>
      </w:pPr>
      <w:rPr>
        <w:rFonts w:hint="default"/>
      </w:rPr>
    </w:lvl>
    <w:lvl w:ilvl="1" w:tentative="0">
      <w:start w:val="1"/>
      <w:numFmt w:val="decimal"/>
      <w:lvlText w:val="%2."/>
      <w:lvlJc w:val="left"/>
      <w:pPr>
        <w:ind w:left="840" w:hanging="420"/>
      </w:pPr>
    </w:lvl>
    <w:lvl w:ilvl="2" w:tentative="0">
      <w:start w:val="1"/>
      <w:numFmt w:val="upperLetter"/>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05F691E"/>
    <w:multiLevelType w:val="multilevel"/>
    <w:tmpl w:val="605F691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0C660F8"/>
    <w:multiLevelType w:val="multilevel"/>
    <w:tmpl w:val="60C660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89370FD"/>
    <w:multiLevelType w:val="multilevel"/>
    <w:tmpl w:val="789370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4"/>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4MTljYWY1YjVkMjZkMWY2YTcyNWQxMDdjNjNlMTMifQ=="/>
  </w:docVars>
  <w:rsids>
    <w:rsidRoot w:val="00092E5D"/>
    <w:rsid w:val="00023C30"/>
    <w:rsid w:val="00050B15"/>
    <w:rsid w:val="000544DE"/>
    <w:rsid w:val="00055CF4"/>
    <w:rsid w:val="00064476"/>
    <w:rsid w:val="00072908"/>
    <w:rsid w:val="00076E73"/>
    <w:rsid w:val="00092E5D"/>
    <w:rsid w:val="000C35BB"/>
    <w:rsid w:val="000D4316"/>
    <w:rsid w:val="000E4BFE"/>
    <w:rsid w:val="000F17B0"/>
    <w:rsid w:val="001145FF"/>
    <w:rsid w:val="00141715"/>
    <w:rsid w:val="00154483"/>
    <w:rsid w:val="0017704A"/>
    <w:rsid w:val="001958FB"/>
    <w:rsid w:val="0020494B"/>
    <w:rsid w:val="002119C0"/>
    <w:rsid w:val="00264064"/>
    <w:rsid w:val="002F7993"/>
    <w:rsid w:val="00307BB7"/>
    <w:rsid w:val="0035433F"/>
    <w:rsid w:val="00390378"/>
    <w:rsid w:val="003B1552"/>
    <w:rsid w:val="003C6F29"/>
    <w:rsid w:val="003D2732"/>
    <w:rsid w:val="003D68BD"/>
    <w:rsid w:val="004860B7"/>
    <w:rsid w:val="004D3870"/>
    <w:rsid w:val="004D6C6A"/>
    <w:rsid w:val="004F2712"/>
    <w:rsid w:val="005621E0"/>
    <w:rsid w:val="005853D9"/>
    <w:rsid w:val="005868B8"/>
    <w:rsid w:val="0059719D"/>
    <w:rsid w:val="005A5EF4"/>
    <w:rsid w:val="00610FDD"/>
    <w:rsid w:val="00663EEB"/>
    <w:rsid w:val="006C7FA3"/>
    <w:rsid w:val="00716A88"/>
    <w:rsid w:val="00733456"/>
    <w:rsid w:val="00773C86"/>
    <w:rsid w:val="007D52E0"/>
    <w:rsid w:val="007E3CCC"/>
    <w:rsid w:val="0081499E"/>
    <w:rsid w:val="008434F3"/>
    <w:rsid w:val="00846596"/>
    <w:rsid w:val="008E2B69"/>
    <w:rsid w:val="009273BD"/>
    <w:rsid w:val="00945052"/>
    <w:rsid w:val="00991E4C"/>
    <w:rsid w:val="009A21F5"/>
    <w:rsid w:val="009A4C89"/>
    <w:rsid w:val="009B6DCE"/>
    <w:rsid w:val="009D59C9"/>
    <w:rsid w:val="00A537AD"/>
    <w:rsid w:val="00A7481C"/>
    <w:rsid w:val="00AB58D0"/>
    <w:rsid w:val="00AD4B0C"/>
    <w:rsid w:val="00B14CDF"/>
    <w:rsid w:val="00B3570B"/>
    <w:rsid w:val="00BA48B7"/>
    <w:rsid w:val="00BA5749"/>
    <w:rsid w:val="00BB5111"/>
    <w:rsid w:val="00BD1420"/>
    <w:rsid w:val="00C1112D"/>
    <w:rsid w:val="00C16B97"/>
    <w:rsid w:val="00C25A08"/>
    <w:rsid w:val="00C462FF"/>
    <w:rsid w:val="00C93B02"/>
    <w:rsid w:val="00C94084"/>
    <w:rsid w:val="00CF550A"/>
    <w:rsid w:val="00CF6904"/>
    <w:rsid w:val="00D5391B"/>
    <w:rsid w:val="00D578CF"/>
    <w:rsid w:val="00D7691F"/>
    <w:rsid w:val="00D8188D"/>
    <w:rsid w:val="00DA3B6C"/>
    <w:rsid w:val="00DC4093"/>
    <w:rsid w:val="00DE5A4F"/>
    <w:rsid w:val="00DE632C"/>
    <w:rsid w:val="00E12896"/>
    <w:rsid w:val="00E12E1C"/>
    <w:rsid w:val="00E312D9"/>
    <w:rsid w:val="00E87E7F"/>
    <w:rsid w:val="00EF0137"/>
    <w:rsid w:val="00F37862"/>
    <w:rsid w:val="00F404DC"/>
    <w:rsid w:val="00F45571"/>
    <w:rsid w:val="00F8713A"/>
    <w:rsid w:val="030E4DBB"/>
    <w:rsid w:val="03AD7285"/>
    <w:rsid w:val="08294362"/>
    <w:rsid w:val="19D96F98"/>
    <w:rsid w:val="2E5B2778"/>
    <w:rsid w:val="2EEA08E2"/>
    <w:rsid w:val="30802422"/>
    <w:rsid w:val="33080692"/>
    <w:rsid w:val="3AC77212"/>
    <w:rsid w:val="461865CE"/>
    <w:rsid w:val="617821BF"/>
    <w:rsid w:val="646C065E"/>
    <w:rsid w:val="73025D8D"/>
    <w:rsid w:val="735B6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autoRedefine/>
    <w:qFormat/>
    <w:uiPriority w:val="0"/>
    <w:rPr>
      <w:color w:val="0000FF"/>
      <w:u w:val="single"/>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20844;&#21496;&#24037;&#20316;\&#36234;&#21335;&#23637;\2024&#24180;\&#23637;&#21518;&#25253;&#21578;\2024&#23637;&#21518;&#25253;&#21578;&#25968;&#25454;&#20869;&#2348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20844;&#21496;&#24037;&#20316;\&#36234;&#21335;&#23637;\2024&#24180;\&#23637;&#21518;&#25253;&#21578;\2024&#23637;&#21518;&#25253;&#21578;&#25968;&#25454;&#20869;&#2348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20844;&#21496;&#24037;&#20316;\&#36234;&#21335;&#23637;\2024&#24180;\&#23637;&#21518;&#25253;&#21578;\2024&#23637;&#21518;&#25253;&#21578;&#25968;&#25454;&#20869;&#2348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0844;&#21496;&#24037;&#20316;\&#36234;&#21335;&#23637;\2024&#24180;\&#23637;&#21518;&#25253;&#21578;\2024&#23637;&#21518;&#25253;&#21578;&#25968;&#25454;&#20869;&#2348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0844;&#21496;&#24037;&#20316;\&#36234;&#21335;&#23637;\2024&#24180;\&#23637;&#21518;&#25253;&#21578;\2024&#23637;&#21518;&#25253;&#21578;&#25968;&#25454;&#20869;&#234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chemeClr val="accent1"/>
              </a:solidFill>
            </a:ln>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[2024展后报告数据内容.xlsx]Sheet1!$A$107:$A$109</c:f>
              <c:strCache>
                <c:ptCount val="3"/>
                <c:pt idx="0">
                  <c:v>&lt;30W美金</c:v>
                </c:pt>
                <c:pt idx="1">
                  <c:v>30-80W美金</c:v>
                </c:pt>
                <c:pt idx="2">
                  <c:v>&gt;80W美金</c:v>
                </c:pt>
              </c:strCache>
            </c:strRef>
          </c:cat>
          <c:val>
            <c:numRef>
              <c:f>[2024展后报告数据内容.xlsx]Sheet1!$B$107:$B$109</c:f>
              <c:numCache>
                <c:formatCode>0.00%</c:formatCode>
                <c:ptCount val="3"/>
                <c:pt idx="0">
                  <c:v>0.1468</c:v>
                </c:pt>
                <c:pt idx="1">
                  <c:v>0.1369</c:v>
                </c:pt>
                <c:pt idx="2">
                  <c:v>0.1565</c:v>
                </c:pt>
              </c:numCache>
            </c:numRef>
          </c:val>
        </c:ser>
        <c:dLbls>
          <c:showLegendKey val="0"/>
          <c:showVal val="1"/>
          <c:showCatName val="0"/>
          <c:showSerName val="0"/>
          <c:showPercent val="0"/>
          <c:showBubbleSize val="0"/>
        </c:dLbls>
        <c:gapWidth val="264"/>
        <c:overlap val="-58"/>
        <c:axId val="883643040"/>
        <c:axId val="883643432"/>
      </c:barChart>
      <c:catAx>
        <c:axId val="883643040"/>
        <c:scaling>
          <c:orientation val="minMax"/>
        </c:scaling>
        <c:delete val="0"/>
        <c:axPos val="l"/>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883643432"/>
        <c:crosses val="autoZero"/>
        <c:auto val="1"/>
        <c:lblAlgn val="ctr"/>
        <c:lblOffset val="100"/>
        <c:noMultiLvlLbl val="0"/>
      </c:catAx>
      <c:valAx>
        <c:axId val="883643432"/>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3643040"/>
        <c:crosses val="autoZero"/>
        <c:crossBetween val="between"/>
      </c:valAx>
      <c:spPr>
        <a:noFill/>
        <a:ln>
          <a:noFill/>
        </a:ln>
        <a:effectLst/>
      </c:spPr>
    </c:plotArea>
    <c:plotVisOnly val="1"/>
    <c:dispBlanksAs val="gap"/>
    <c:showDLblsOverMax val="0"/>
    <c:extLst>
      <c:ext uri="{0b15fc19-7d7d-44ad-8c2d-2c3a37ce22c3}">
        <chartProps xmlns="https://web.wps.cn/et/2018/main" chartId="{85278672-dfcc-4908-a6a5-95a960a5953e}"/>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sz="9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chemeClr val="accent1"/>
              </a:solidFill>
            </a:ln>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[2024展后报告数据内容.xlsx]Sheet1!$C$55:$C$63</c:f>
              <c:strCache>
                <c:ptCount val="9"/>
                <c:pt idx="0">
                  <c:v>经销代理商</c:v>
                </c:pt>
                <c:pt idx="1">
                  <c:v>连锁卖场</c:v>
                </c:pt>
                <c:pt idx="2">
                  <c:v>电商卖家</c:v>
                </c:pt>
                <c:pt idx="3">
                  <c:v>政府机构</c:v>
                </c:pt>
                <c:pt idx="4">
                  <c:v>商会协会</c:v>
                </c:pt>
                <c:pt idx="5">
                  <c:v>生产制造商</c:v>
                </c:pt>
                <c:pt idx="6">
                  <c:v>零售商</c:v>
                </c:pt>
                <c:pt idx="7">
                  <c:v>服务机构</c:v>
                </c:pt>
                <c:pt idx="8">
                  <c:v>房产建筑工程装修商</c:v>
                </c:pt>
              </c:strCache>
            </c:strRef>
          </c:cat>
          <c:val>
            <c:numRef>
              <c:f>[2024展后报告数据内容.xlsx]Sheet1!$F$55:$F$63</c:f>
              <c:numCache>
                <c:formatCode>0.00%</c:formatCode>
                <c:ptCount val="9"/>
                <c:pt idx="0">
                  <c:v>0.2098</c:v>
                </c:pt>
                <c:pt idx="1">
                  <c:v>0.0633</c:v>
                </c:pt>
                <c:pt idx="2">
                  <c:v>0.0522701259061427</c:v>
                </c:pt>
                <c:pt idx="3">
                  <c:v>0.0244181610072491</c:v>
                </c:pt>
                <c:pt idx="4">
                  <c:v>0.0282334986646318</c:v>
                </c:pt>
                <c:pt idx="5">
                  <c:v>0.2194</c:v>
                </c:pt>
                <c:pt idx="6">
                  <c:v>0.191148416634872</c:v>
                </c:pt>
                <c:pt idx="7">
                  <c:v>0.0765</c:v>
                </c:pt>
                <c:pt idx="8">
                  <c:v>0.0782</c:v>
                </c:pt>
              </c:numCache>
            </c:numRef>
          </c:val>
        </c:ser>
        <c:dLbls>
          <c:showLegendKey val="0"/>
          <c:showVal val="1"/>
          <c:showCatName val="0"/>
          <c:showSerName val="0"/>
          <c:showPercent val="0"/>
          <c:showBubbleSize val="0"/>
        </c:dLbls>
        <c:gapWidth val="264"/>
        <c:overlap val="-58"/>
        <c:axId val="964314280"/>
        <c:axId val="964312712"/>
      </c:barChart>
      <c:catAx>
        <c:axId val="964314280"/>
        <c:scaling>
          <c:orientation val="minMax"/>
        </c:scaling>
        <c:delete val="0"/>
        <c:axPos val="l"/>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964312712"/>
        <c:crosses val="autoZero"/>
        <c:auto val="1"/>
        <c:lblAlgn val="ctr"/>
        <c:lblOffset val="100"/>
        <c:noMultiLvlLbl val="0"/>
      </c:catAx>
      <c:valAx>
        <c:axId val="964312712"/>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4314280"/>
        <c:crosses val="autoZero"/>
        <c:crossBetween val="between"/>
      </c:valAx>
      <c:spPr>
        <a:noFill/>
        <a:ln>
          <a:noFill/>
        </a:ln>
        <a:effectLst/>
      </c:spPr>
    </c:plotArea>
    <c:plotVisOnly val="1"/>
    <c:dispBlanksAs val="gap"/>
    <c:showDLblsOverMax val="0"/>
    <c:extLst>
      <c:ext uri="{0b15fc19-7d7d-44ad-8c2d-2c3a37ce22c3}">
        <chartProps xmlns="https://web.wps.cn/et/2018/main" chartId="{b8064e48-3b0f-423c-a349-63fcdfaee62c}"/>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chemeClr val="accent1"/>
              </a:solidFill>
            </a:ln>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ysClr val="windowText" lastClr="000000"/>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[2024展后报告数据内容.xlsx]Sheet1!$A$84:$A$88</c:f>
              <c:strCache>
                <c:ptCount val="5"/>
                <c:pt idx="0">
                  <c:v>综合服务</c:v>
                </c:pt>
                <c:pt idx="1">
                  <c:v>人工智能</c:v>
                </c:pt>
                <c:pt idx="2">
                  <c:v>智慧零售</c:v>
                </c:pt>
                <c:pt idx="3">
                  <c:v>智能科技产品</c:v>
                </c:pt>
                <c:pt idx="4">
                  <c:v>智能制造</c:v>
                </c:pt>
              </c:strCache>
            </c:strRef>
          </c:cat>
          <c:val>
            <c:numRef>
              <c:f>[2024展后报告数据内容.xlsx]Sheet1!$D$84:$D$88</c:f>
              <c:numCache>
                <c:formatCode>0.00%</c:formatCode>
                <c:ptCount val="5"/>
                <c:pt idx="0">
                  <c:v>0.235416666666667</c:v>
                </c:pt>
                <c:pt idx="1">
                  <c:v>0.200694444444444</c:v>
                </c:pt>
                <c:pt idx="2">
                  <c:v>0.249305555555556</c:v>
                </c:pt>
                <c:pt idx="3">
                  <c:v>0.458333333333333</c:v>
                </c:pt>
                <c:pt idx="4">
                  <c:v>0.35625</c:v>
                </c:pt>
              </c:numCache>
            </c:numRef>
          </c:val>
        </c:ser>
        <c:dLbls>
          <c:showLegendKey val="0"/>
          <c:showVal val="1"/>
          <c:showCatName val="0"/>
          <c:showSerName val="0"/>
          <c:showPercent val="0"/>
          <c:showBubbleSize val="0"/>
        </c:dLbls>
        <c:gapWidth val="264"/>
        <c:overlap val="-58"/>
        <c:axId val="964313496"/>
        <c:axId val="964313888"/>
      </c:barChart>
      <c:catAx>
        <c:axId val="964313496"/>
        <c:scaling>
          <c:orientation val="minMax"/>
        </c:scaling>
        <c:delete val="0"/>
        <c:axPos val="l"/>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964313888"/>
        <c:crosses val="autoZero"/>
        <c:auto val="1"/>
        <c:lblAlgn val="ctr"/>
        <c:lblOffset val="100"/>
        <c:noMultiLvlLbl val="0"/>
      </c:catAx>
      <c:valAx>
        <c:axId val="964313888"/>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64313496"/>
        <c:crosses val="autoZero"/>
        <c:crossBetween val="between"/>
      </c:valAx>
      <c:spPr>
        <a:noFill/>
        <a:ln>
          <a:noFill/>
        </a:ln>
        <a:effectLst/>
      </c:spPr>
    </c:plotArea>
    <c:plotVisOnly val="1"/>
    <c:dispBlanksAs val="gap"/>
    <c:showDLblsOverMax val="0"/>
    <c:extLst>
      <c:ext uri="{0b15fc19-7d7d-44ad-8c2d-2c3a37ce22c3}">
        <chartProps xmlns="https://web.wps.cn/et/2018/main" chartId="{d3636a88-ee1c-4347-9ac8-e24f810d275c}"/>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chemeClr val="accent1"/>
              </a:solidFill>
            </a:ln>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ysClr val="windowText" lastClr="000000"/>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[2024展后报告数据内容.xlsx]Sheet1!$A$47:$A$51</c:f>
              <c:strCache>
                <c:ptCount val="5"/>
                <c:pt idx="0">
                  <c:v>展商邀请</c:v>
                </c:pt>
                <c:pt idx="1">
                  <c:v>了解行业信息</c:v>
                </c:pt>
                <c:pt idx="2">
                  <c:v>寻找合作的机会</c:v>
                </c:pt>
                <c:pt idx="3">
                  <c:v>现场采购</c:v>
                </c:pt>
                <c:pt idx="4">
                  <c:v>想代理/批发产品</c:v>
                </c:pt>
              </c:strCache>
            </c:strRef>
          </c:cat>
          <c:val>
            <c:numRef>
              <c:f>[2024展后报告数据内容.xlsx]Sheet1!$D$47:$D$51</c:f>
              <c:numCache>
                <c:formatCode>0.00%</c:formatCode>
                <c:ptCount val="5"/>
                <c:pt idx="0">
                  <c:v>0.0380507343124166</c:v>
                </c:pt>
                <c:pt idx="1">
                  <c:v>0.3238</c:v>
                </c:pt>
                <c:pt idx="2">
                  <c:v>0.2275</c:v>
                </c:pt>
                <c:pt idx="3">
                  <c:v>0.370493991989319</c:v>
                </c:pt>
                <c:pt idx="4">
                  <c:v>0.1802</c:v>
                </c:pt>
              </c:numCache>
            </c:numRef>
          </c:val>
        </c:ser>
        <c:dLbls>
          <c:showLegendKey val="0"/>
          <c:showVal val="1"/>
          <c:showCatName val="0"/>
          <c:showSerName val="0"/>
          <c:showPercent val="0"/>
          <c:showBubbleSize val="0"/>
        </c:dLbls>
        <c:gapWidth val="264"/>
        <c:overlap val="-58"/>
        <c:axId val="900064672"/>
        <c:axId val="900061928"/>
      </c:barChart>
      <c:catAx>
        <c:axId val="900064672"/>
        <c:scaling>
          <c:orientation val="minMax"/>
        </c:scaling>
        <c:delete val="0"/>
        <c:axPos val="l"/>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ysClr val="windowText" lastClr="000000"/>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900061928"/>
        <c:crosses val="autoZero"/>
        <c:auto val="1"/>
        <c:lblAlgn val="ctr"/>
        <c:lblOffset val="100"/>
        <c:noMultiLvlLbl val="0"/>
      </c:catAx>
      <c:valAx>
        <c:axId val="900061928"/>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00064672"/>
        <c:crosses val="autoZero"/>
        <c:crossBetween val="between"/>
      </c:valAx>
      <c:spPr>
        <a:noFill/>
        <a:ln>
          <a:noFill/>
        </a:ln>
        <a:effectLst/>
      </c:spPr>
    </c:plotArea>
    <c:plotVisOnly val="1"/>
    <c:dispBlanksAs val="gap"/>
    <c:showDLblsOverMax val="0"/>
    <c:extLst>
      <c:ext uri="{0b15fc19-7d7d-44ad-8c2d-2c3a37ce22c3}">
        <chartProps xmlns="https://web.wps.cn/et/2018/main" chartId="{ee88ebdd-0328-404d-8dad-c9bda9e29b91}"/>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806282722513"/>
          <c:y val="0.0936170212765957"/>
          <c:w val="0.692984293193717"/>
          <c:h val="0.81276595744680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[2024展后报告数据内容.xlsx]Sheet1!$A$122:$A$124</c:f>
              <c:strCache>
                <c:ptCount val="3"/>
                <c:pt idx="0">
                  <c:v>观展很满意</c:v>
                </c:pt>
                <c:pt idx="1">
                  <c:v>愿意再次观展</c:v>
                </c:pt>
                <c:pt idx="2">
                  <c:v>愿意推荐展会给朋友</c:v>
                </c:pt>
              </c:strCache>
            </c:strRef>
          </c:cat>
          <c:val>
            <c:numRef>
              <c:f>[2024展后报告数据内容.xlsx]Sheet1!$B$122:$B$124</c:f>
              <c:numCache>
                <c:formatCode>0.00%</c:formatCode>
                <c:ptCount val="3"/>
                <c:pt idx="0">
                  <c:v>0.81</c:v>
                </c:pt>
                <c:pt idx="1">
                  <c:v>0.87</c:v>
                </c:pt>
                <c:pt idx="2">
                  <c:v>0.91</c:v>
                </c:pt>
              </c:numCache>
            </c:numRef>
          </c:val>
        </c:ser>
        <c:dLbls>
          <c:showLegendKey val="0"/>
          <c:showVal val="1"/>
          <c:showCatName val="0"/>
          <c:showSerName val="0"/>
          <c:showPercent val="0"/>
          <c:showBubbleSize val="0"/>
        </c:dLbls>
        <c:gapWidth val="140"/>
        <c:overlap val="-40"/>
        <c:axId val="712577104"/>
        <c:axId val="712579064"/>
      </c:barChart>
      <c:catAx>
        <c:axId val="71257710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712579064"/>
        <c:crosses val="autoZero"/>
        <c:auto val="1"/>
        <c:lblAlgn val="ctr"/>
        <c:lblOffset val="100"/>
        <c:noMultiLvlLbl val="0"/>
      </c:catAx>
      <c:valAx>
        <c:axId val="712579064"/>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577104"/>
        <c:crosses val="autoZero"/>
        <c:crossBetween val="between"/>
      </c:valAx>
      <c:spPr>
        <a:noFill/>
        <a:ln>
          <a:noFill/>
        </a:ln>
        <a:effectLst/>
      </c:spPr>
    </c:plotArea>
    <c:plotVisOnly val="1"/>
    <c:dispBlanksAs val="gap"/>
    <c:showDLblsOverMax val="0"/>
    <c:extLst>
      <c:ext uri="{0b15fc19-7d7d-44ad-8c2d-2c3a37ce22c3}">
        <chartProps xmlns="https://web.wps.cn/et/2018/main" chartId="{b9643a28-9c56-4efd-aa91-9781d7bd240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1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CC7BA-172D-463F-A1B7-9A16E06711B5}">
  <ds:schemaRefs/>
</ds:datastoreItem>
</file>

<file path=docProps/app.xml><?xml version="1.0" encoding="utf-8"?>
<Properties xmlns="http://schemas.openxmlformats.org/officeDocument/2006/extended-properties" xmlns:vt="http://schemas.openxmlformats.org/officeDocument/2006/docPropsVTypes">
  <Template>Normal</Template>
  <Pages>14</Pages>
  <Words>622</Words>
  <Characters>696</Characters>
  <Lines>44</Lines>
  <Paragraphs>12</Paragraphs>
  <TotalTime>26</TotalTime>
  <ScaleCrop>false</ScaleCrop>
  <LinksUpToDate>false</LinksUpToDate>
  <CharactersWithSpaces>702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2024-10-22T11:13:00Z</dcterms:created>
  <dc:creator>Helen</dc:creator>
  <cp:lastModifiedBy>游利韵</cp:lastModifiedBy>
  <cp:lastPrinted>2024-10-23T09:33:00Z</cp:lastPrinted>
  <dcterms:modified xsi:type="dcterms:W3CDTF">2025-02-10T08:17:34Z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D025E11DDE504A4181F8CF4EAB228A42_13</vt:lpwstr>
  </property>
  <property fmtid="{D5CDD505-2E9C-101B-9397-08002B2CF9AE}" pid="4" name="KSOTemplateDocerSaveRecord">
    <vt:lpwstr>eyJoZGlkIjoiYTI2ZTRkNTc1YzA4ZTAzY2Y3ZjcxYzkwYTQyMzhiZTUiLCJ1c2VySWQiOiIzOTkyNjAwOTgifQ==</vt:lpwstr>
  </property>
</Properties>
</file>