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AC473">
      <w:pPr>
        <w:pStyle w:val="2"/>
        <w:bidi w:val="0"/>
        <w:jc w:val="center"/>
        <w:rPr>
          <w:rFonts w:hint="eastAsia" w:ascii="宋体" w:hAnsi="宋体" w:eastAsia="宋体" w:cs="宋体"/>
          <w:sz w:val="5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32"/>
          <w:lang w:val="en-US" w:eastAsia="zh-CN"/>
        </w:rPr>
        <w:t>长春第二届国际大健康暨养生养老产业博览会</w:t>
      </w:r>
    </w:p>
    <w:p w14:paraId="54A87118">
      <w:pPr>
        <w:spacing w:line="360" w:lineRule="auto"/>
        <w:jc w:val="center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2025年9月5-7日  长春东北亚国际博览中心A1馆</w:t>
      </w:r>
    </w:p>
    <w:p w14:paraId="1574B91B">
      <w:pPr>
        <w:spacing w:line="360" w:lineRule="auto"/>
        <w:ind w:firstLine="2100" w:firstLineChars="100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承办单位：长春九鼎信和展览服务有限公司</w:t>
      </w:r>
    </w:p>
    <w:p w14:paraId="65114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8004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根据相关数据，截止到2022年底，我国的老年人数量规模已经有2.1亿，面临较大的人口老龄化压力。我国65岁及往上老年人口占比已达到13.5%，离进入老龄社会阶段仅一步之遥。随着1962-1976 年婴儿潮人口在未来 5-10 年进入老龄化，预计2033 年左右我国将进入占比超过 20%的超级老龄化社会。</w:t>
      </w:r>
    </w:p>
    <w:p w14:paraId="6E7FC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随着中国老龄化的加速，养老资源的匮乏已经成为一个十分严峻的社会问题。面向老龄化人群的养老、康养、旅居等目的地建设，正在逐步完善适老化配套设施设备并进一步提高相关的养老、康养、医养、医护服务水平。东北地区老龄化严重，适老化建设与改造迫在眉睫，这就需要更多专业产业链的参与。</w:t>
      </w:r>
    </w:p>
    <w:p w14:paraId="700FC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长春国际养老及大健康博览会，作为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集中展示养老和大健康领域最新技术、产品、服务和解决方案的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预计展览面积20000㎡，参展企业500多家，观众30000多人，涵盖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智能养老设备、康复辅助器具、健康食品、营养保健品等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众多新兴产品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。同时，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展会将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会举办一系列论坛和研讨会，邀请业内专家、学者和企业代表就养老及大健康产业的最新动态、政策法规、技术创新等方面进行深入的探讨和交流。旨在搭建一个交流合作的平台，推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动养老及大健康产业的创新与发展。</w:t>
      </w:r>
    </w:p>
    <w:p w14:paraId="64895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随着科技的不断进步和人们健康需求的提高，大健康产业将继续发展壮大，在提升个人生活质量、推动社会健康发展以及满足消费需求转变等方面都具有重要意义。因此，我们政府部门高度重视大健康项目的发展，长春国际养老及大健康博览会加大投入力度，推动其不断创新和完善，为人民群众提供更加优质、高效的健康服务。</w:t>
      </w:r>
    </w:p>
    <w:p w14:paraId="734B1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长春国际养老及大健康博览会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对于推动产业发展和提升公众的健康意识都具有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不可或缺的作用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。它不仅是一个展示最新成果的平台，也是一个促进合作与交流的重要场所，为养老及大健康产业的持续发展注入了新的活力。</w:t>
      </w:r>
    </w:p>
    <w:p w14:paraId="52F95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7AB1B8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●布展时间：2025年9月2-4日，8:30-17:00</w:t>
      </w:r>
    </w:p>
    <w:p w14:paraId="15E59C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●展览时间：2025年9月5-7日，9:00-17:00</w:t>
      </w:r>
    </w:p>
    <w:p w14:paraId="288954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●撤展时间：2025年9月7日 15:00以后撤展</w:t>
      </w:r>
    </w:p>
    <w:p w14:paraId="795FA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reflection w14:blurRad="6350" w14:stA="60000" w14:stPos="0" w14:endA="900" w14:endPos="58000" w14:dist="0" w14:dir="5400000" w14:fadeDir="5400000" w14:sx="100000" w14:sy="-100000" w14:kx="0" w14:algn="bl"/>
          <w14:textFill>
            <w14:solidFill>
              <w14:schemeClr w14:val="tx1"/>
            </w14:solidFill>
          </w14:textFill>
        </w:rPr>
      </w:pPr>
    </w:p>
    <w:p w14:paraId="629FC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展览范围：</w:t>
      </w:r>
    </w:p>
    <w:p w14:paraId="65D6B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营养品及滋补品</w:t>
      </w:r>
    </w:p>
    <w:p w14:paraId="6BDDC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保健食品、膳食补充剂、绿色健康食品、高端水、健康粮油、营养健康原料、健康饮品、药食同源、食疗养生食品、保健品、滋补品、功能茶、营养配餐中药饮片、天然植物产品、中成药、参茸、贵细药材、同膳、中医理疗、艾灸等。</w:t>
      </w:r>
    </w:p>
    <w:p w14:paraId="3541F6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康复医疗 </w:t>
      </w:r>
    </w:p>
    <w:p w14:paraId="25AAD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神经康复设备及技术、感官康复设备及技术、骨创及运动医学康复设备及技术、脊髓损伤康复设备及技术、中医康复设备及技术、功能评定设备、水疗工程设备、康复医疗机构、眼科医院等。</w:t>
      </w:r>
    </w:p>
    <w:p w14:paraId="37889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养老服务</w:t>
      </w:r>
    </w:p>
    <w:p w14:paraId="730E2B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养老机构、社区居家养老服务、社区日间照料服务、养老服务综合体、康复护理、养老咨询及精神慰藉、老年助餐、助急、助医等服务、养老运营管理、养老机构及管理咨询公司、家政服务、社区日间照料服务等。</w:t>
      </w:r>
    </w:p>
    <w:p w14:paraId="0D524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智慧养老 </w:t>
      </w:r>
    </w:p>
    <w:p w14:paraId="069BB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互联网服务平台、智能养老信息化服务平台、养老机构解决方案及管理系统、生命体征监测、养老陪护系统与设备、智慧养老设备、养老信息化服务、智慧养老整体解决方案及管理系统、可穿戴产品、生命体征检测、养老陪护等。</w:t>
      </w:r>
    </w:p>
    <w:p w14:paraId="79ADD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养老金融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57C5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互联创新型养老金融服务、各银行个人养老金产品、各保险企业个人养老金产品,涉老产业上市公司、头部企业非直接建设领域地产机构、金融机构、基金组织、老龄金融法律援助机构等。</w:t>
      </w:r>
    </w:p>
    <w:p w14:paraId="1FAC74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功能饮料及功能水 </w:t>
      </w:r>
    </w:p>
    <w:p w14:paraId="578B63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维生素饮料、矿物质饮料、电解质饮料、低卡路里饮料、草本及茶饮料、天然果蔬饮料、植物蛋白饮料、特殊用途固体饮料、功能水、富氢饮用水、富氢水杯、吸氢机、氢氧机、富氢水浴机、氢水小家电、制氢仪器等。</w:t>
      </w:r>
    </w:p>
    <w:p w14:paraId="3E2EF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养老教育及生活护理</w:t>
      </w:r>
    </w:p>
    <w:p w14:paraId="2039D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老年教育、老年大学、养老服务业培训、老年文娱产品及服务、心理咨询、老年出行设施设备、健身器材与设备。床垫及褥疮防治产品、失禁护理产品、卫生清洁产品及技术、消毒产品、进食、衣着、洗漱等特殊生活用品、个人护理等；</w:t>
      </w:r>
    </w:p>
    <w:p w14:paraId="66B409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6377ADB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58AD61BE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多方面</w:t>
      </w:r>
      <w:r>
        <w:rPr>
          <w:rFonts w:hint="eastAsia" w:ascii="宋体" w:hAnsi="宋体" w:eastAsia="宋体" w:cs="宋体"/>
          <w:b/>
          <w:sz w:val="24"/>
          <w:szCs w:val="24"/>
        </w:rPr>
        <w:t>宣传确保高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b/>
          <w:sz w:val="24"/>
          <w:szCs w:val="24"/>
        </w:rPr>
        <w:t>观众</w:t>
      </w:r>
    </w:p>
    <w:p w14:paraId="16A789AB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多渠道邀约，商机无限：</w:t>
      </w:r>
    </w:p>
    <w:p w14:paraId="41F0426A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1）传统渠道：地推走访养老院、敬老院、老年活动中心及老年大学、干休所、药店、经销代理、贸易商、健康管理中心等。</w:t>
      </w:r>
    </w:p>
    <w:p w14:paraId="2559FACC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2）新兴渠道：聚合电商、社群/社区零售、微商、加盟等新式零售渠道，为展商提供多渠道的商贸交流平台。 </w:t>
      </w:r>
    </w:p>
    <w:p w14:paraId="398556A6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3）通过专业杂志，报刊，网站，公众号等多种有针对性的市场营销活动，</w:t>
      </w:r>
    </w:p>
    <w:p w14:paraId="3281C6D1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5）社区宣传：全市范围内开展走进社区系列宣传活动，扩大宣传范围，发动全民关注，全民转发的现场活动，关注老龄人，增加对养老产业链博览会的深刻印象。</w:t>
      </w:r>
    </w:p>
    <w:p w14:paraId="4531345E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6）户外宣传：公交车，地铁，公园投放文字及图片广告。</w:t>
      </w:r>
    </w:p>
    <w:p w14:paraId="19440000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7）电台宣传：与吉林交通之声电台合作及吉林公共新闻台合作。</w:t>
      </w:r>
    </w:p>
    <w:p w14:paraId="249B5BEA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8）广泛吸引高品质买家参观展会，现场还有邀请行业顶级大咖、网红达人等。</w:t>
      </w:r>
    </w:p>
    <w:p w14:paraId="2B06222C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9）大会召开期间将邀请电视台，利用短信宣传，互联网（抖音、快手、微信）等知名媒体进行宣传报道，进一步提升参展企业宣传推广扩大知名度及影响力。</w:t>
      </w:r>
    </w:p>
    <w:p w14:paraId="09B6D8FB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）现场组织数百场商务配对活动，一对一精准对接，高效促成订单。</w:t>
      </w:r>
    </w:p>
    <w:p w14:paraId="424394D2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25EF9311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参展申请办法</w:t>
      </w:r>
    </w:p>
    <w:p w14:paraId="768A1C08"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参展单位认真填写（参展申请表），由参展单位负责人签字并盖章后，寄送或传真至主办单位。</w:t>
      </w:r>
    </w:p>
    <w:p w14:paraId="0C4C941D"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经主办单位确认后，参展单位须按规定将参展费用汇至主办单位指定开户行。</w:t>
      </w:r>
    </w:p>
    <w:p w14:paraId="38825DC5"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收到参展费后，主办单位按原则分配展位，寄送（参展细则）和通知有关安排。</w:t>
      </w:r>
    </w:p>
    <w:p w14:paraId="06DF7619"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请参展单位认真阅读（参展申请表）。展台位置分配原则：先申请、先付款、先分配。</w:t>
      </w:r>
    </w:p>
    <w:p w14:paraId="55FBE2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6E04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注意事项</w:t>
      </w:r>
    </w:p>
    <w:p w14:paraId="02C73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1、主办方坚持先申请、先付款、先确认的原则。在签定合同7个工作日内，将参展费用全款50%汇转大会指定银行账户，过期不付款者，组委会有权变更原定展位或取消其参展资格。</w:t>
      </w:r>
    </w:p>
    <w:p w14:paraId="25FD08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2、组委会根据会场的整体效果和安全消防的需要，将有权调整部分已确认的展位。</w:t>
      </w:r>
    </w:p>
    <w:p w14:paraId="522F82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6523D30F"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组委会招商处</w:t>
      </w:r>
    </w:p>
    <w:p w14:paraId="4320AF87"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长春九鼎信和展览服务有限公司</w:t>
      </w:r>
    </w:p>
    <w:p w14:paraId="654F5390"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  址：长春市生态大街华荣泰A座2501室</w:t>
      </w:r>
    </w:p>
    <w:p w14:paraId="5BDBC6A8"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电  话：0431-81038918 </w:t>
      </w:r>
    </w:p>
    <w:p w14:paraId="08DDE20D"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传  真：0431-81038917 </w:t>
      </w:r>
    </w:p>
    <w:p w14:paraId="3847CBA4">
      <w:pPr>
        <w:spacing w:line="360" w:lineRule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联系人：李经理 13604318346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周经理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13039105398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刘经理 15104427114 </w:t>
      </w:r>
    </w:p>
    <w:p w14:paraId="3925B809"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业务QQ：422399672  2846055687</w:t>
      </w:r>
    </w:p>
    <w:p w14:paraId="4CB9BB1D"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M5NDNmN2M1YWIxYWU1OGM3ZDRiY2M2ZGNiZTkifQ=="/>
    <w:docVar w:name="KSO_WPS_MARK_KEY" w:val="ea277ed0-76ec-4aa0-b16a-9206b20e4959"/>
  </w:docVars>
  <w:rsids>
    <w:rsidRoot w:val="1E417D23"/>
    <w:rsid w:val="1E417D23"/>
    <w:rsid w:val="2DB949DC"/>
    <w:rsid w:val="4E9E3A8A"/>
    <w:rsid w:val="4EC927A2"/>
    <w:rsid w:val="7346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2283</Words>
  <Characters>2438</Characters>
  <Lines>0</Lines>
  <Paragraphs>0</Paragraphs>
  <TotalTime>39</TotalTime>
  <ScaleCrop>false</ScaleCrop>
  <LinksUpToDate>false</LinksUpToDate>
  <CharactersWithSpaces>2469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2024-06-11T01:53:00Z</dcterms:created>
  <dc:creator>长春广告展-张洋</dc:creator>
  <cp:lastModifiedBy>长春广告展-张洋</cp:lastModifiedBy>
  <dcterms:modified xsi:type="dcterms:W3CDTF">2025-03-20T01:48:31Z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58B9AB9F8F864337BE6F122CEF6F277A_13</vt:lpwstr>
  </property>
  <property fmtid="{D5CDD505-2E9C-101B-9397-08002B2CF9AE}" pid="4" name="KSOTemplateDocerSaveRecord">
    <vt:lpwstr>eyJoZGlkIjoiMWNlMGM5NDNmN2M1YWIxYWU1OGM3ZDRiY2M2ZGNiZTkiLCJ1c2VySWQiOiIxMDY3MDE1MDk3In0=</vt:lpwstr>
  </property>
</Properties>
</file>