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DD4411">
      <w:pPr>
        <w:spacing w:line="500" w:lineRule="exact"/>
        <w:jc w:val="center"/>
        <w:rPr>
          <w:rFonts w:hint="eastAsia" w:ascii="微软雅黑" w:hAnsi="微软雅黑" w:eastAsia="微软雅黑" w:cs="微软雅黑"/>
          <w:b/>
          <w:bCs/>
          <w:sz w:val="40"/>
          <w:szCs w:val="36"/>
        </w:rPr>
      </w:pPr>
    </w:p>
    <w:p w14:paraId="1EE54FB0">
      <w:pPr>
        <w:spacing w:line="500" w:lineRule="exact"/>
        <w:jc w:val="center"/>
        <w:rPr>
          <w:rFonts w:hint="eastAsia" w:ascii="微软雅黑" w:hAnsi="微软雅黑" w:eastAsia="微软雅黑" w:cs="微软雅黑"/>
          <w:b/>
          <w:bCs/>
          <w:sz w:val="40"/>
          <w:szCs w:val="36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36"/>
        </w:rPr>
        <w:t>2025</w:t>
      </w:r>
      <w:r>
        <w:rPr>
          <w:rFonts w:ascii="微软雅黑" w:hAnsi="微软雅黑" w:eastAsia="微软雅黑" w:cs="微软雅黑"/>
          <w:b/>
          <w:bCs/>
          <w:sz w:val="40"/>
          <w:szCs w:val="36"/>
        </w:rPr>
        <w:t xml:space="preserve"> IBTE</w:t>
      </w:r>
      <w:r>
        <w:rPr>
          <w:rFonts w:hint="eastAsia" w:ascii="微软雅黑" w:hAnsi="微软雅黑" w:eastAsia="微软雅黑" w:cs="微软雅黑"/>
          <w:b/>
          <w:bCs/>
          <w:sz w:val="40"/>
          <w:szCs w:val="36"/>
        </w:rPr>
        <w:t>越南（河内）国际玩具及婴童用品展</w:t>
      </w:r>
    </w:p>
    <w:p w14:paraId="758468A8">
      <w:pPr>
        <w:spacing w:line="500" w:lineRule="exact"/>
        <w:jc w:val="center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——越南规模最大且最专业的玩具及婴童用品B</w:t>
      </w:r>
      <w:r>
        <w:rPr>
          <w:rFonts w:ascii="黑体" w:hAnsi="黑体" w:eastAsia="黑体" w:cs="黑体"/>
          <w:sz w:val="28"/>
          <w:szCs w:val="28"/>
        </w:rPr>
        <w:t>2B</w:t>
      </w:r>
      <w:r>
        <w:rPr>
          <w:rFonts w:hint="eastAsia" w:ascii="黑体" w:hAnsi="黑体" w:eastAsia="黑体" w:cs="黑体"/>
          <w:sz w:val="28"/>
          <w:szCs w:val="28"/>
        </w:rPr>
        <w:t>贸易展</w:t>
      </w:r>
    </w:p>
    <w:p w14:paraId="52F4D045">
      <w:pPr>
        <w:spacing w:line="240" w:lineRule="auto"/>
        <w:jc w:val="center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498475</wp:posOffset>
            </wp:positionH>
            <wp:positionV relativeFrom="paragraph">
              <wp:posOffset>51435</wp:posOffset>
            </wp:positionV>
            <wp:extent cx="5852160" cy="3310255"/>
            <wp:effectExtent l="0" t="0" r="2540" b="4445"/>
            <wp:wrapSquare wrapText="bothSides"/>
            <wp:docPr id="1" name="图片 1" descr="河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河内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1EA9B2">
      <w:pPr>
        <w:spacing w:line="500" w:lineRule="exact"/>
        <w:jc w:val="center"/>
        <w:rPr>
          <w:rFonts w:hint="eastAsia" w:ascii="微软雅黑" w:hAnsi="微软雅黑" w:eastAsia="微软雅黑" w:cs="微软雅黑"/>
          <w:sz w:val="24"/>
          <w:szCs w:val="28"/>
        </w:rPr>
      </w:pPr>
      <w:bookmarkStart w:id="1" w:name="_GoBack"/>
      <w:bookmarkEnd w:id="1"/>
    </w:p>
    <w:p w14:paraId="39FEAB0D">
      <w:pPr>
        <w:numPr>
          <w:ilvl w:val="0"/>
          <w:numId w:val="1"/>
        </w:numPr>
        <w:spacing w:line="500" w:lineRule="exact"/>
        <w:ind w:hanging="578"/>
        <w:jc w:val="left"/>
        <w:rPr>
          <w:rFonts w:hint="eastAsia" w:ascii="微软雅黑" w:hAnsi="微软雅黑" w:eastAsia="微软雅黑" w:cs="微软雅黑"/>
          <w:b/>
          <w:kern w:val="0"/>
          <w:sz w:val="28"/>
          <w:szCs w:val="24"/>
        </w:rPr>
      </w:pPr>
      <w:r>
        <w:rPr>
          <w:rFonts w:hint="eastAsia" w:ascii="微软雅黑" w:hAnsi="微软雅黑" w:eastAsia="微软雅黑" w:cs="微软雅黑"/>
          <w:b/>
          <w:kern w:val="0"/>
          <w:sz w:val="28"/>
          <w:szCs w:val="24"/>
        </w:rPr>
        <w:t>展会概况</w:t>
      </w:r>
    </w:p>
    <w:p w14:paraId="3CF75A91">
      <w:pPr>
        <w:numPr>
          <w:ilvl w:val="0"/>
          <w:numId w:val="2"/>
        </w:numPr>
        <w:snapToGrid w:val="0"/>
        <w:spacing w:before="156" w:beforeLines="50" w:after="156" w:afterLines="5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展 会 名 称 ：</w:t>
      </w:r>
      <w:r>
        <w:rPr>
          <w:rFonts w:hint="eastAsia" w:ascii="微软雅黑" w:hAnsi="微软雅黑" w:eastAsia="微软雅黑" w:cs="微软雅黑"/>
          <w:bCs/>
          <w:sz w:val="24"/>
          <w:szCs w:val="32"/>
        </w:rPr>
        <w:t xml:space="preserve">2025 </w:t>
      </w:r>
      <w:r>
        <w:rPr>
          <w:rFonts w:ascii="微软雅黑" w:hAnsi="微软雅黑" w:eastAsia="微软雅黑" w:cs="微软雅黑"/>
          <w:bCs/>
          <w:sz w:val="24"/>
          <w:szCs w:val="32"/>
        </w:rPr>
        <w:t>IBTE</w:t>
      </w:r>
      <w:r>
        <w:rPr>
          <w:rFonts w:hint="eastAsia" w:ascii="微软雅黑" w:hAnsi="微软雅黑" w:eastAsia="微软雅黑" w:cs="微软雅黑"/>
          <w:bCs/>
          <w:sz w:val="24"/>
          <w:szCs w:val="32"/>
        </w:rPr>
        <w:t>越南（河内）国际玩具及婴童用品展</w:t>
      </w:r>
    </w:p>
    <w:p w14:paraId="12E04100">
      <w:pPr>
        <w:numPr>
          <w:ilvl w:val="0"/>
          <w:numId w:val="2"/>
        </w:numPr>
        <w:snapToGrid w:val="0"/>
        <w:spacing w:before="156" w:beforeLines="50" w:after="156" w:afterLines="50"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 办 单 位 ：</w:t>
      </w:r>
      <w:r>
        <w:rPr>
          <w:rFonts w:hint="eastAsia" w:ascii="微软雅黑" w:hAnsi="微软雅黑" w:eastAsia="微软雅黑" w:cs="微软雅黑"/>
          <w:sz w:val="24"/>
          <w:szCs w:val="21"/>
        </w:rPr>
        <w:t>潮域展览</w:t>
      </w:r>
      <w:r>
        <w:rPr>
          <w:rFonts w:hint="eastAsia" w:ascii="微软雅黑" w:hAnsi="微软雅黑" w:eastAsia="微软雅黑" w:cs="微软雅黑"/>
          <w:sz w:val="24"/>
          <w:szCs w:val="24"/>
        </w:rPr>
        <w:t>【CHAOYU EXPO】</w:t>
      </w:r>
    </w:p>
    <w:p w14:paraId="703E8410">
      <w:pPr>
        <w:numPr>
          <w:ilvl w:val="0"/>
          <w:numId w:val="2"/>
        </w:numPr>
        <w:snapToGrid w:val="0"/>
        <w:spacing w:before="156" w:beforeLines="50" w:after="156" w:afterLines="50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承 办 单 位 ：VINEXAD</w:t>
      </w:r>
    </w:p>
    <w:p w14:paraId="44B53648">
      <w:pPr>
        <w:numPr>
          <w:ilvl w:val="0"/>
          <w:numId w:val="2"/>
        </w:numPr>
        <w:snapToGrid w:val="0"/>
        <w:spacing w:before="156" w:beforeLines="50" w:after="156" w:afterLines="50"/>
        <w:ind w:left="1168" w:hanging="448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支 持 单 位 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越南对外贸易部</w:t>
      </w:r>
    </w:p>
    <w:p w14:paraId="2A3E785B">
      <w:pPr>
        <w:snapToGrid w:val="0"/>
        <w:spacing w:before="156" w:beforeLines="50" w:after="156" w:afterLines="50"/>
        <w:ind w:firstLine="2834" w:firstLineChars="1181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越南工</w:t>
      </w:r>
      <w:r>
        <w:rPr>
          <w:rFonts w:ascii="微软雅黑" w:hAnsi="微软雅黑" w:eastAsia="微软雅黑" w:cs="微软雅黑"/>
          <w:sz w:val="24"/>
          <w:szCs w:val="24"/>
        </w:rPr>
        <w:t>贸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部 </w:t>
      </w:r>
    </w:p>
    <w:p w14:paraId="3216773E">
      <w:pPr>
        <w:snapToGrid w:val="0"/>
        <w:spacing w:before="156" w:beforeLines="50" w:after="156" w:afterLines="50"/>
        <w:ind w:firstLine="2834" w:firstLineChars="1181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越南中华总商会 </w:t>
      </w:r>
    </w:p>
    <w:p w14:paraId="02360927">
      <w:pPr>
        <w:snapToGrid w:val="0"/>
        <w:spacing w:before="156" w:beforeLines="50" w:after="156" w:afterLines="50"/>
        <w:ind w:firstLine="2834" w:firstLineChars="1181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越南工商</w:t>
      </w:r>
      <w:r>
        <w:rPr>
          <w:rFonts w:ascii="微软雅黑" w:hAnsi="微软雅黑" w:eastAsia="微软雅黑" w:cs="微软雅黑"/>
          <w:sz w:val="24"/>
          <w:szCs w:val="24"/>
        </w:rPr>
        <w:t>联合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会 </w:t>
      </w:r>
    </w:p>
    <w:p w14:paraId="6E00CA2A">
      <w:pPr>
        <w:numPr>
          <w:ilvl w:val="0"/>
          <w:numId w:val="3"/>
        </w:numPr>
        <w:snapToGrid w:val="0"/>
        <w:spacing w:before="156" w:beforeLines="50" w:after="156" w:afterLines="5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时 </w:t>
      </w:r>
      <w:r>
        <w:rPr>
          <w:rFonts w:ascii="微软雅黑" w:hAnsi="微软雅黑" w:eastAsia="微软雅黑" w:cs="微软雅黑"/>
          <w:sz w:val="24"/>
          <w:szCs w:val="24"/>
        </w:rPr>
        <w:t xml:space="preserve">     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间 ：2025年6月19-</w:t>
      </w:r>
      <w:r>
        <w:rPr>
          <w:rFonts w:ascii="微软雅黑" w:hAnsi="微软雅黑" w:eastAsia="微软雅黑" w:cs="微软雅黑"/>
          <w:sz w:val="24"/>
          <w:szCs w:val="24"/>
        </w:rPr>
        <w:t>2</w:t>
      </w:r>
      <w:r>
        <w:rPr>
          <w:rFonts w:hint="eastAsia" w:ascii="微软雅黑" w:hAnsi="微软雅黑" w:eastAsia="微软雅黑" w:cs="微软雅黑"/>
          <w:sz w:val="24"/>
          <w:szCs w:val="24"/>
        </w:rPr>
        <w:t>1日</w:t>
      </w:r>
    </w:p>
    <w:p w14:paraId="3060D600">
      <w:pPr>
        <w:numPr>
          <w:ilvl w:val="0"/>
          <w:numId w:val="3"/>
        </w:numPr>
        <w:snapToGrid w:val="0"/>
        <w:spacing w:before="156" w:beforeLines="50" w:after="156" w:afterLines="5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地 </w:t>
      </w:r>
      <w:r>
        <w:rPr>
          <w:rFonts w:ascii="微软雅黑" w:hAnsi="微软雅黑" w:eastAsia="微软雅黑" w:cs="微软雅黑"/>
          <w:sz w:val="24"/>
          <w:szCs w:val="24"/>
        </w:rPr>
        <w:t xml:space="preserve">      </w:t>
      </w:r>
      <w:r>
        <w:rPr>
          <w:rFonts w:hint="eastAsia" w:ascii="微软雅黑" w:hAnsi="微软雅黑" w:eastAsia="微软雅黑" w:cs="微软雅黑"/>
          <w:sz w:val="24"/>
          <w:szCs w:val="24"/>
        </w:rPr>
        <w:t>点 ：越南河内国际展览中心【ICE】</w:t>
      </w:r>
    </w:p>
    <w:p w14:paraId="6E20F39A">
      <w:pPr>
        <w:numPr>
          <w:ilvl w:val="0"/>
          <w:numId w:val="3"/>
        </w:numPr>
        <w:snapToGrid w:val="0"/>
        <w:spacing w:before="156" w:beforeLines="50" w:after="156" w:afterLines="5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展 览 面 积 ：</w:t>
      </w:r>
      <w:r>
        <w:rPr>
          <w:rFonts w:ascii="微软雅黑" w:hAnsi="微软雅黑" w:eastAsia="微软雅黑" w:cs="微软雅黑"/>
          <w:sz w:val="24"/>
          <w:szCs w:val="24"/>
        </w:rPr>
        <w:t>10000</w:t>
      </w:r>
      <w:r>
        <w:rPr>
          <w:rFonts w:hint="eastAsia" w:ascii="微软雅黑" w:hAnsi="微软雅黑" w:eastAsia="微软雅黑" w:cs="微软雅黑"/>
          <w:sz w:val="24"/>
          <w:szCs w:val="24"/>
        </w:rPr>
        <w:t>平米</w:t>
      </w:r>
    </w:p>
    <w:p w14:paraId="7A60B7A6">
      <w:pPr>
        <w:spacing w:line="480" w:lineRule="auto"/>
        <w:ind w:firstLine="140" w:firstLineChars="50"/>
        <w:rPr>
          <w:rFonts w:ascii="Tahoma" w:hAnsi="Tahoma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8"/>
          <w:szCs w:val="24"/>
        </w:rPr>
        <w:t>二、展品范围</w:t>
      </w:r>
    </w:p>
    <w:p w14:paraId="6B5BA7D2">
      <w:pPr>
        <w:pStyle w:val="13"/>
        <w:numPr>
          <w:ilvl w:val="0"/>
          <w:numId w:val="4"/>
        </w:numPr>
        <w:snapToGrid w:val="0"/>
        <w:spacing w:before="156" w:beforeLines="50" w:after="156" w:afterLines="50" w:line="264" w:lineRule="auto"/>
        <w:ind w:left="218" w:leftChars="104" w:right="-218" w:rightChars="-104" w:firstLine="0" w:firstLineChars="0"/>
        <w:contextualSpacing/>
        <w:rPr>
          <w:rFonts w:ascii="Tahoma" w:hAnsi="Tahoma" w:eastAsia="微软雅黑"/>
          <w:sz w:val="24"/>
        </w:rPr>
      </w:pPr>
      <w:r>
        <w:rPr>
          <w:rFonts w:hint="eastAsia" w:ascii="Tahoma" w:hAnsi="Tahoma" w:eastAsia="微软雅黑"/>
          <w:b/>
          <w:bCs/>
          <w:sz w:val="24"/>
        </w:rPr>
        <w:t xml:space="preserve"> 玩具展区：</w:t>
      </w:r>
      <w:r>
        <w:rPr>
          <w:rFonts w:hint="eastAsia" w:ascii="微软雅黑" w:hAnsi="微软雅黑" w:eastAsia="微软雅黑" w:cs="宋体"/>
          <w:sz w:val="24"/>
        </w:rPr>
        <w:t>电动玩具、木制玩具、塑料玩具、儿童益智类玩具、组装玩具、遥控玩具、电子游戏机、多媒体游戏、桌面游戏、毛绒玩具、儿童文具、儿童运动器材、儿童电动汽车、儿童自行车、教育用品、彩绘用品、装饰品等。</w:t>
      </w:r>
    </w:p>
    <w:p w14:paraId="24C62529">
      <w:pPr>
        <w:pStyle w:val="13"/>
        <w:numPr>
          <w:ilvl w:val="0"/>
          <w:numId w:val="4"/>
        </w:numPr>
        <w:snapToGrid w:val="0"/>
        <w:spacing w:before="156" w:beforeLines="50" w:after="156" w:afterLines="50" w:line="264" w:lineRule="auto"/>
        <w:ind w:left="218" w:leftChars="104" w:right="-218" w:rightChars="-104" w:firstLine="0" w:firstLineChars="0"/>
        <w:contextualSpacing/>
        <w:rPr>
          <w:rFonts w:ascii="Tahoma" w:hAnsi="Tahoma" w:eastAsia="微软雅黑"/>
          <w:b/>
          <w:bCs/>
          <w:sz w:val="24"/>
        </w:rPr>
      </w:pPr>
      <w:r>
        <w:rPr>
          <w:rFonts w:hint="eastAsia" w:ascii="Tahoma" w:hAnsi="Tahoma" w:eastAsia="微软雅黑"/>
          <w:b/>
          <w:bCs/>
          <w:sz w:val="24"/>
        </w:rPr>
        <w:t xml:space="preserve"> 潮玩及手办：</w:t>
      </w:r>
      <w:r>
        <w:rPr>
          <w:rFonts w:hint="eastAsia" w:ascii="微软雅黑" w:hAnsi="微软雅黑" w:eastAsia="微软雅黑" w:cs="宋体"/>
          <w:sz w:val="24"/>
        </w:rPr>
        <w:t>积木、盲盒、毛绒玩具、机械人形、手办、桌游、集换卡牌、BJD娃娃、动漫周边、IP产权、独立设计玩具、艺术收藏类等。</w:t>
      </w:r>
    </w:p>
    <w:p w14:paraId="66CE2D53">
      <w:pPr>
        <w:pStyle w:val="13"/>
        <w:numPr>
          <w:ilvl w:val="0"/>
          <w:numId w:val="4"/>
        </w:numPr>
        <w:snapToGrid w:val="0"/>
        <w:spacing w:before="156" w:beforeLines="50" w:after="156" w:afterLines="50" w:line="264" w:lineRule="auto"/>
        <w:ind w:left="218" w:leftChars="104" w:right="-218" w:rightChars="-104" w:firstLine="0" w:firstLineChars="0"/>
        <w:contextualSpacing/>
        <w:rPr>
          <w:rFonts w:ascii="Tahoma" w:hAnsi="Tahoma" w:eastAsia="微软雅黑"/>
          <w:sz w:val="24"/>
        </w:rPr>
      </w:pPr>
      <w:r>
        <w:rPr>
          <w:rFonts w:hint="eastAsia" w:ascii="Tahoma" w:hAnsi="Tahoma" w:eastAsia="微软雅黑"/>
          <w:b/>
          <w:bCs/>
          <w:sz w:val="24"/>
        </w:rPr>
        <w:t xml:space="preserve"> 婴童用品展区：</w:t>
      </w:r>
      <w:r>
        <w:rPr>
          <w:rFonts w:hint="eastAsia" w:ascii="微软雅黑" w:hAnsi="微软雅黑" w:eastAsia="微软雅黑" w:cs="宋体"/>
          <w:sz w:val="24"/>
        </w:rPr>
        <w:t>婴儿手推车、婴儿背带、学步车、婴儿餐椅、婴幼儿安全维护设施、育婴电器、奶瓶、奶嘴、儿童护理用品、安全座椅、婴儿摇篮、尿布、婴儿湿巾、儿童家具、儿童家纺等。</w:t>
      </w:r>
    </w:p>
    <w:p w14:paraId="47756DA1">
      <w:pPr>
        <w:pStyle w:val="13"/>
        <w:numPr>
          <w:ilvl w:val="0"/>
          <w:numId w:val="4"/>
        </w:numPr>
        <w:snapToGrid w:val="0"/>
        <w:spacing w:before="156" w:beforeLines="50" w:after="156" w:afterLines="50" w:line="264" w:lineRule="auto"/>
        <w:ind w:left="218" w:leftChars="104" w:right="-218" w:rightChars="-104" w:firstLine="0" w:firstLineChars="0"/>
        <w:contextualSpacing/>
        <w:rPr>
          <w:rFonts w:ascii="Tahoma" w:hAnsi="Tahoma" w:eastAsia="微软雅黑"/>
          <w:sz w:val="24"/>
        </w:rPr>
      </w:pPr>
      <w:r>
        <w:rPr>
          <w:rFonts w:hint="eastAsia" w:ascii="Tahoma" w:hAnsi="Tahoma" w:eastAsia="微软雅黑"/>
          <w:b/>
          <w:bCs/>
          <w:sz w:val="24"/>
        </w:rPr>
        <w:t xml:space="preserve"> 游艺游乐展区：</w:t>
      </w:r>
      <w:r>
        <w:rPr>
          <w:rFonts w:hint="eastAsia" w:ascii="Tahoma" w:hAnsi="Tahoma" w:eastAsia="微软雅黑"/>
          <w:sz w:val="24"/>
        </w:rPr>
        <w:t>室内外儿童乐园、蹦床、动感影视设备、电子游戏机、模拟机、益智与娱乐设施器材等。</w:t>
      </w:r>
    </w:p>
    <w:p w14:paraId="2531148D">
      <w:pPr>
        <w:pStyle w:val="13"/>
        <w:numPr>
          <w:ilvl w:val="0"/>
          <w:numId w:val="4"/>
        </w:numPr>
        <w:snapToGrid w:val="0"/>
        <w:spacing w:before="156" w:beforeLines="50" w:after="156" w:afterLines="50" w:line="264" w:lineRule="auto"/>
        <w:ind w:left="218" w:leftChars="104" w:right="-218" w:rightChars="-104" w:firstLine="0" w:firstLineChars="0"/>
        <w:contextualSpacing/>
        <w:rPr>
          <w:rFonts w:ascii="Tahoma" w:hAnsi="Tahoma" w:eastAsia="微软雅黑"/>
          <w:sz w:val="24"/>
        </w:rPr>
      </w:pPr>
      <w:r>
        <w:rPr>
          <w:rFonts w:hint="eastAsia" w:ascii="Tahoma" w:hAnsi="Tahoma" w:eastAsia="微软雅黑"/>
          <w:b/>
          <w:bCs/>
          <w:sz w:val="24"/>
        </w:rPr>
        <w:t xml:space="preserve"> 文具展区：</w:t>
      </w:r>
      <w:r>
        <w:rPr>
          <w:rFonts w:hint="eastAsia" w:ascii="微软雅黑" w:hAnsi="微软雅黑" w:eastAsia="微软雅黑" w:cs="宋体"/>
          <w:sz w:val="24"/>
        </w:rPr>
        <w:t>学生文具、学校用具、体育用品、教具、办公文具、办公家具、办公室整体解决方案、纸制品及印刷品、美术画材及手工D</w:t>
      </w:r>
      <w:r>
        <w:rPr>
          <w:rFonts w:ascii="微软雅黑" w:hAnsi="微软雅黑" w:eastAsia="微软雅黑" w:cs="宋体"/>
          <w:sz w:val="24"/>
        </w:rPr>
        <w:t>IY</w:t>
      </w:r>
      <w:r>
        <w:rPr>
          <w:rFonts w:hint="eastAsia" w:ascii="微软雅黑" w:hAnsi="微软雅黑" w:eastAsia="微软雅黑" w:cs="宋体"/>
          <w:sz w:val="24"/>
        </w:rPr>
        <w:t>、打印技术、耗材及电子周边等。</w:t>
      </w:r>
    </w:p>
    <w:p w14:paraId="2FECDCF2">
      <w:pPr>
        <w:pStyle w:val="13"/>
        <w:numPr>
          <w:ilvl w:val="0"/>
          <w:numId w:val="4"/>
        </w:numPr>
        <w:snapToGrid w:val="0"/>
        <w:spacing w:before="156" w:beforeLines="50" w:after="156" w:afterLines="50" w:line="264" w:lineRule="auto"/>
        <w:ind w:left="218" w:leftChars="104" w:right="-218" w:rightChars="-104" w:firstLine="0" w:firstLineChars="0"/>
        <w:contextualSpacing/>
        <w:rPr>
          <w:rFonts w:ascii="Tahoma" w:hAnsi="Tahoma" w:eastAsia="微软雅黑"/>
          <w:sz w:val="24"/>
        </w:rPr>
      </w:pPr>
      <w:r>
        <w:rPr>
          <w:rFonts w:hint="eastAsia" w:ascii="Tahoma" w:hAnsi="Tahoma" w:eastAsia="微软雅黑"/>
          <w:b/>
          <w:bCs/>
          <w:sz w:val="24"/>
        </w:rPr>
        <w:t xml:space="preserve"> 玩具配件及机械设备展区：</w:t>
      </w:r>
      <w:r>
        <w:rPr>
          <w:rFonts w:hint="eastAsia" w:ascii="Tahoma" w:hAnsi="Tahoma" w:eastAsia="微软雅黑"/>
          <w:sz w:val="24"/>
        </w:rPr>
        <w:t>玩具配件、包装材料、玩具加工设备、包装机械、印刷设备、智能设备及系统集成等。</w:t>
      </w:r>
    </w:p>
    <w:p w14:paraId="00712D3B">
      <w:pPr>
        <w:pStyle w:val="13"/>
        <w:snapToGrid w:val="0"/>
        <w:spacing w:before="156" w:beforeLines="50" w:after="156" w:afterLines="50" w:line="264" w:lineRule="auto"/>
        <w:ind w:left="851" w:firstLine="0" w:firstLineChars="0"/>
        <w:contextualSpacing/>
        <w:rPr>
          <w:rFonts w:ascii="Tahoma" w:hAnsi="Tahoma" w:eastAsia="微软雅黑"/>
          <w:sz w:val="24"/>
        </w:rPr>
      </w:pPr>
    </w:p>
    <w:p w14:paraId="298624C0">
      <w:pPr>
        <w:numPr>
          <w:ilvl w:val="0"/>
          <w:numId w:val="5"/>
        </w:numPr>
        <w:spacing w:line="360" w:lineRule="auto"/>
        <w:ind w:hanging="578"/>
        <w:rPr>
          <w:rFonts w:hint="eastAsia" w:ascii="微软雅黑" w:hAnsi="微软雅黑" w:eastAsia="微软雅黑" w:cs="微软雅黑"/>
          <w:sz w:val="28"/>
          <w:szCs w:val="24"/>
        </w:rPr>
      </w:pPr>
      <w:r>
        <w:rPr>
          <w:rFonts w:hint="eastAsia" w:ascii="微软雅黑" w:hAnsi="微软雅黑" w:eastAsia="微软雅黑" w:cs="微软雅黑"/>
          <w:b/>
          <w:sz w:val="28"/>
          <w:szCs w:val="24"/>
        </w:rPr>
        <w:t>参展费用</w:t>
      </w:r>
    </w:p>
    <w:p w14:paraId="47076517">
      <w:pPr>
        <w:pStyle w:val="13"/>
        <w:numPr>
          <w:ilvl w:val="0"/>
          <w:numId w:val="4"/>
        </w:numPr>
        <w:snapToGrid w:val="0"/>
        <w:spacing w:before="156" w:beforeLines="50" w:after="156" w:afterLines="50" w:line="24" w:lineRule="atLeast"/>
        <w:ind w:left="986" w:firstLineChars="0"/>
        <w:contextualSpacing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Tahoma" w:hAnsi="Tahoma" w:eastAsia="微软雅黑"/>
          <w:sz w:val="24"/>
          <w:szCs w:val="24"/>
        </w:rPr>
        <w:t>标准展位：人民币3</w:t>
      </w:r>
      <w:r>
        <w:rPr>
          <w:rFonts w:ascii="Tahoma" w:hAnsi="Tahoma" w:eastAsia="微软雅黑"/>
          <w:sz w:val="24"/>
          <w:szCs w:val="24"/>
        </w:rPr>
        <w:t>6</w:t>
      </w:r>
      <w:r>
        <w:rPr>
          <w:rFonts w:hint="eastAsia" w:ascii="Tahoma" w:hAnsi="Tahoma" w:eastAsia="微软雅黑"/>
          <w:sz w:val="24"/>
          <w:szCs w:val="24"/>
        </w:rPr>
        <w:t>,800 / 9平米</w:t>
      </w:r>
    </w:p>
    <w:p w14:paraId="18839D0C">
      <w:pPr>
        <w:pStyle w:val="13"/>
        <w:numPr>
          <w:ilvl w:val="0"/>
          <w:numId w:val="4"/>
        </w:numPr>
        <w:snapToGrid w:val="0"/>
        <w:spacing w:before="156" w:beforeLines="50" w:after="156" w:afterLines="50" w:line="24" w:lineRule="atLeast"/>
        <w:ind w:left="986" w:firstLineChars="0"/>
        <w:contextualSpacing/>
        <w:rPr>
          <w:rFonts w:ascii="Tahoma" w:hAnsi="Tahoma" w:eastAsia="微软雅黑"/>
          <w:sz w:val="24"/>
        </w:rPr>
      </w:pPr>
      <w:r>
        <w:rPr>
          <w:rFonts w:hint="eastAsia" w:ascii="Tahoma" w:hAnsi="Tahoma" w:eastAsia="微软雅黑"/>
          <w:sz w:val="24"/>
          <w:szCs w:val="24"/>
        </w:rPr>
        <w:t>光地展位：人民币3</w:t>
      </w:r>
      <w:r>
        <w:rPr>
          <w:rFonts w:ascii="Tahoma" w:hAnsi="Tahoma" w:eastAsia="微软雅黑"/>
          <w:sz w:val="24"/>
          <w:szCs w:val="24"/>
        </w:rPr>
        <w:t>,6</w:t>
      </w:r>
      <w:r>
        <w:rPr>
          <w:rFonts w:hint="eastAsia" w:ascii="Tahoma" w:hAnsi="Tahoma" w:eastAsia="微软雅黑"/>
          <w:sz w:val="24"/>
          <w:szCs w:val="24"/>
        </w:rPr>
        <w:t>80 / 平米</w:t>
      </w:r>
    </w:p>
    <w:p w14:paraId="39267D21">
      <w:pPr>
        <w:pStyle w:val="13"/>
        <w:numPr>
          <w:ilvl w:val="0"/>
          <w:numId w:val="4"/>
        </w:numPr>
        <w:snapToGrid w:val="0"/>
        <w:spacing w:before="156" w:beforeLines="50" w:after="156" w:afterLines="50" w:line="24" w:lineRule="atLeast"/>
        <w:ind w:left="986" w:firstLineChars="0"/>
        <w:contextualSpacing/>
        <w:rPr>
          <w:rFonts w:ascii="Tahoma" w:hAnsi="Tahoma" w:eastAsia="微软雅黑"/>
          <w:sz w:val="24"/>
          <w:szCs w:val="24"/>
        </w:rPr>
      </w:pPr>
      <w:r>
        <w:rPr>
          <w:rFonts w:hint="eastAsia" w:ascii="Tahoma" w:hAnsi="Tahoma" w:eastAsia="微软雅黑"/>
          <w:sz w:val="24"/>
        </w:rPr>
        <w:t>角位费用：按展位费5%收取</w:t>
      </w:r>
    </w:p>
    <w:p w14:paraId="2B973D8E">
      <w:pPr>
        <w:numPr>
          <w:ilvl w:val="0"/>
          <w:numId w:val="5"/>
        </w:numPr>
        <w:spacing w:line="360" w:lineRule="auto"/>
        <w:ind w:hanging="578"/>
        <w:rPr>
          <w:rFonts w:hint="eastAsia" w:ascii="微软雅黑" w:hAnsi="微软雅黑" w:eastAsia="微软雅黑" w:cs="微软雅黑"/>
          <w:b/>
          <w:sz w:val="28"/>
        </w:rPr>
      </w:pPr>
      <w:r>
        <w:rPr>
          <w:rFonts w:hint="eastAsia" w:ascii="微软雅黑" w:hAnsi="微软雅黑" w:eastAsia="微软雅黑" w:cs="微软雅黑"/>
          <w:b/>
          <w:sz w:val="28"/>
        </w:rPr>
        <w:t>展位配置</w:t>
      </w:r>
    </w:p>
    <w:p w14:paraId="7150FF06">
      <w:pPr>
        <w:pStyle w:val="13"/>
        <w:widowControl/>
        <w:ind w:left="720" w:firstLine="0" w:firstLineChars="0"/>
        <w:jc w:val="left"/>
        <w:rPr>
          <w:rFonts w:hint="eastAsia" w:ascii="微软雅黑" w:hAnsi="微软雅黑" w:eastAsia="微软雅黑" w:cs="微软雅黑"/>
          <w:b/>
          <w:bCs/>
          <w:sz w:val="28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标准展位配置：</w:t>
      </w:r>
      <w:r>
        <w:rPr>
          <w:rFonts w:hint="eastAsia" w:ascii="微软雅黑" w:hAnsi="微软雅黑" w:eastAsia="微软雅黑" w:cs="微软雅黑"/>
          <w:sz w:val="24"/>
        </w:rPr>
        <w:t>9米层板、</w:t>
      </w:r>
      <w:r>
        <w:rPr>
          <w:rFonts w:ascii="微软雅黑" w:hAnsi="微软雅黑" w:eastAsia="微软雅黑" w:cs="微软雅黑"/>
          <w:sz w:val="24"/>
        </w:rPr>
        <w:t>3</w:t>
      </w:r>
      <w:r>
        <w:rPr>
          <w:rFonts w:hint="eastAsia" w:ascii="微软雅黑" w:hAnsi="微软雅黑" w:eastAsia="微软雅黑" w:cs="微软雅黑"/>
          <w:sz w:val="24"/>
        </w:rPr>
        <w:t>个射灯、楣板、地毯、1张桌子、3张椅子、1个咨询台、1个220V插座、1个垃圾桶。</w:t>
      </w:r>
    </w:p>
    <w:p w14:paraId="35933376">
      <w:pPr>
        <w:pStyle w:val="13"/>
        <w:numPr>
          <w:ilvl w:val="0"/>
          <w:numId w:val="5"/>
        </w:numPr>
        <w:spacing w:line="500" w:lineRule="exact"/>
        <w:ind w:hanging="578" w:firstLineChars="0"/>
        <w:jc w:val="left"/>
        <w:rPr>
          <w:rFonts w:hint="eastAsia" w:ascii="微软雅黑" w:hAnsi="微软雅黑" w:eastAsia="微软雅黑" w:cs="微软雅黑"/>
          <w:b/>
          <w:sz w:val="28"/>
          <w:szCs w:val="24"/>
        </w:rPr>
      </w:pPr>
      <w:r>
        <w:rPr>
          <w:rFonts w:hint="eastAsia" w:ascii="微软雅黑" w:hAnsi="微软雅黑" w:eastAsia="微软雅黑" w:cs="微软雅黑"/>
          <w:b/>
          <w:sz w:val="28"/>
          <w:szCs w:val="24"/>
        </w:rPr>
        <w:t>市场概况</w:t>
      </w:r>
    </w:p>
    <w:p w14:paraId="36B609B7">
      <w:pPr>
        <w:numPr>
          <w:ilvl w:val="0"/>
          <w:numId w:val="4"/>
        </w:numPr>
        <w:snapToGrid w:val="0"/>
        <w:spacing w:before="156" w:beforeLines="50" w:after="156" w:afterLines="50" w:line="20" w:lineRule="atLeast"/>
        <w:ind w:left="986" w:hanging="278"/>
        <w:rPr>
          <w:rFonts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政治、经济优势：</w:t>
      </w:r>
      <w:r>
        <w:rPr>
          <w:rFonts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越南</w:t>
      </w:r>
      <w:r>
        <w:rPr>
          <w:rFonts w:hint="eastAsia"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地处</w:t>
      </w:r>
      <w:r>
        <w:rPr>
          <w:rFonts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政治安定、政府积极实施各种投资优惠政策</w:t>
      </w:r>
      <w:r>
        <w:rPr>
          <w:rFonts w:hint="eastAsia"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，劳动力优势突出，促使越南成为全球投资的热点，带动越南经济快速起飞</w:t>
      </w:r>
      <w:r>
        <w:rPr>
          <w:rFonts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 w14:paraId="4410573C">
      <w:pPr>
        <w:numPr>
          <w:ilvl w:val="0"/>
          <w:numId w:val="4"/>
        </w:numPr>
        <w:snapToGrid w:val="0"/>
        <w:spacing w:before="156" w:beforeLines="50" w:after="156" w:afterLines="50" w:line="20" w:lineRule="atLeast"/>
        <w:ind w:left="986" w:hanging="278"/>
        <w:rPr>
          <w:rFonts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采购枢纽：越南是北东盟的采购枢纽，是进入北部东盟市场的绝佳门户。</w:t>
      </w:r>
    </w:p>
    <w:p w14:paraId="3707D514">
      <w:pPr>
        <w:numPr>
          <w:ilvl w:val="0"/>
          <w:numId w:val="4"/>
        </w:numPr>
        <w:snapToGrid w:val="0"/>
        <w:spacing w:before="156" w:beforeLines="50" w:after="156" w:afterLines="50" w:line="20" w:lineRule="atLeast"/>
        <w:ind w:left="986" w:hanging="278"/>
        <w:rPr>
          <w:rFonts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人口红利优势：根据越南统计局的资料显示，2023年底越南人口突破了1亿大关，成为东南亚第三个人口过亿的国家，意味着越南的人口规模已经跻身全球人口大国的行列，人口红利优势未来将更加凸显。</w:t>
      </w:r>
    </w:p>
    <w:p w14:paraId="6FDA4CA2">
      <w:pPr>
        <w:numPr>
          <w:ilvl w:val="0"/>
          <w:numId w:val="4"/>
        </w:numPr>
        <w:snapToGrid w:val="0"/>
        <w:spacing w:before="156" w:beforeLines="50" w:after="156" w:afterLines="50" w:line="20" w:lineRule="atLeast"/>
        <w:ind w:left="986" w:hanging="278"/>
        <w:rPr>
          <w:rFonts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年轻消费力旺盛：根据统计，截至2022年底，越南1</w:t>
      </w:r>
      <w:r>
        <w:rPr>
          <w:rFonts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岁以下人口达2</w:t>
      </w:r>
      <w:r>
        <w:rPr>
          <w:rFonts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275</w:t>
      </w:r>
      <w:r>
        <w:rPr>
          <w:rFonts w:hint="eastAsia"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万，占其总人口约2</w:t>
      </w:r>
      <w:r>
        <w:rPr>
          <w:rFonts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.17%，15岁以上就业人口超过4900万，占其总人口约51%，人口呈现出年轻化趋势，造就了越南巨大的消费市场。</w:t>
      </w:r>
    </w:p>
    <w:p w14:paraId="06788EE9">
      <w:pPr>
        <w:numPr>
          <w:ilvl w:val="0"/>
          <w:numId w:val="4"/>
        </w:numPr>
        <w:snapToGrid w:val="0"/>
        <w:spacing w:before="156" w:beforeLines="50" w:after="156" w:afterLines="50" w:line="20" w:lineRule="atLeast"/>
        <w:ind w:left="986" w:hanging="278"/>
        <w:rPr>
          <w:rFonts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GDP快速增长：越南在过去的20年里，国内生产总值的实际年复合增长率达5%，是全球平均水平的1.7倍，也是全球GDP增速最快的国家之一。据越南统计总局发布的数据，2022年越南GDP增速达8.02%，创下1997年以来新高，首次问鼎亚洲地区增速最快国家。</w:t>
      </w:r>
    </w:p>
    <w:p w14:paraId="69CAAD27">
      <w:pPr>
        <w:numPr>
          <w:ilvl w:val="0"/>
          <w:numId w:val="4"/>
        </w:numPr>
        <w:snapToGrid w:val="0"/>
        <w:spacing w:before="156" w:beforeLines="50" w:after="156" w:afterLines="50" w:line="20" w:lineRule="atLeast"/>
        <w:ind w:left="986" w:hanging="278"/>
        <w:rPr>
          <w:rFonts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据越南工贸部统计，</w:t>
      </w:r>
      <w:r>
        <w:rPr>
          <w:rFonts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年，</w:t>
      </w:r>
      <w:r>
        <w:rPr>
          <w:rFonts w:hint="eastAsia" w:ascii="Tahoma" w:hAnsi="Tahoma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中国与越南的双边贸易额达2349.2亿美元，同比增长2.1%，中国向越南出口达1469.6亿美元，同比增长6.8%。中国连续多年成为越南第一大贸易伙伴、第一大进口市场和第二大出口市场。</w:t>
      </w:r>
    </w:p>
    <w:p w14:paraId="60B6C024">
      <w:pPr>
        <w:pStyle w:val="13"/>
        <w:numPr>
          <w:ilvl w:val="0"/>
          <w:numId w:val="5"/>
        </w:numPr>
        <w:spacing w:line="288" w:lineRule="auto"/>
        <w:ind w:hanging="578" w:firstLineChars="0"/>
        <w:rPr>
          <w:rFonts w:hint="eastAsia" w:ascii="微软雅黑" w:hAnsi="微软雅黑" w:eastAsia="微软雅黑" w:cs="微软雅黑"/>
          <w:b/>
          <w:kern w:val="0"/>
          <w:sz w:val="28"/>
          <w:szCs w:val="24"/>
        </w:rPr>
      </w:pPr>
      <w:bookmarkStart w:id="0" w:name="_Hlk118207557"/>
      <w:r>
        <w:rPr>
          <w:rFonts w:hint="eastAsia" w:ascii="微软雅黑" w:hAnsi="微软雅黑" w:eastAsia="微软雅黑" w:cs="微软雅黑"/>
          <w:b/>
          <w:kern w:val="0"/>
          <w:sz w:val="28"/>
          <w:szCs w:val="24"/>
        </w:rPr>
        <w:t>超过13种高效买家推广渠道，全方位覆盖邀约专业买家</w:t>
      </w:r>
    </w:p>
    <w:p w14:paraId="6A93C515">
      <w:pPr>
        <w:pStyle w:val="13"/>
        <w:numPr>
          <w:ilvl w:val="0"/>
          <w:numId w:val="4"/>
        </w:numPr>
        <w:snapToGrid w:val="0"/>
        <w:spacing w:before="156" w:beforeLines="50" w:after="156" w:afterLines="50" w:line="360" w:lineRule="auto"/>
        <w:ind w:left="986" w:firstLineChars="0"/>
        <w:contextualSpacing/>
        <w:rPr>
          <w:rFonts w:ascii="Tahoma" w:hAnsi="Tahoma" w:eastAsia="微软雅黑"/>
          <w:sz w:val="24"/>
          <w:szCs w:val="24"/>
        </w:rPr>
      </w:pPr>
      <w:r>
        <w:rPr>
          <w:rFonts w:hint="eastAsia" w:ascii="Tahoma" w:hAnsi="Tahoma" w:eastAsia="微软雅黑"/>
          <w:b/>
          <w:bCs/>
          <w:sz w:val="24"/>
          <w:szCs w:val="24"/>
        </w:rPr>
        <w:t>电子邮件：</w:t>
      </w:r>
      <w:r>
        <w:rPr>
          <w:rFonts w:hint="eastAsia" w:ascii="Tahoma" w:hAnsi="Tahoma" w:eastAsia="微软雅黑"/>
          <w:sz w:val="24"/>
          <w:szCs w:val="24"/>
        </w:rPr>
        <w:t>筛选重点行业买家信息，定期发送展会宣传资料并随时更新展商名录和展品信息</w:t>
      </w:r>
    </w:p>
    <w:p w14:paraId="49DA6776">
      <w:pPr>
        <w:pStyle w:val="13"/>
        <w:numPr>
          <w:ilvl w:val="0"/>
          <w:numId w:val="4"/>
        </w:numPr>
        <w:snapToGrid w:val="0"/>
        <w:spacing w:before="156" w:beforeLines="50" w:after="156" w:afterLines="50" w:line="360" w:lineRule="auto"/>
        <w:ind w:left="986" w:firstLineChars="0"/>
        <w:contextualSpacing/>
        <w:rPr>
          <w:rFonts w:ascii="Tahoma" w:hAnsi="Tahoma" w:eastAsia="微软雅黑"/>
          <w:sz w:val="24"/>
          <w:szCs w:val="24"/>
        </w:rPr>
      </w:pPr>
      <w:r>
        <w:rPr>
          <w:rFonts w:hint="eastAsia" w:ascii="Tahoma" w:hAnsi="Tahoma" w:eastAsia="微软雅黑"/>
          <w:b/>
          <w:bCs/>
          <w:sz w:val="24"/>
          <w:szCs w:val="24"/>
        </w:rPr>
        <w:t>传真及电话：</w:t>
      </w:r>
      <w:r>
        <w:rPr>
          <w:rFonts w:hint="eastAsia" w:ascii="Tahoma" w:hAnsi="Tahoma" w:eastAsia="微软雅黑"/>
          <w:sz w:val="24"/>
          <w:szCs w:val="24"/>
        </w:rPr>
        <w:t>向潜在参观商传真展会参观邀请函，并定期电话跟踪以确保他们参与展会并用于市场调查</w:t>
      </w:r>
    </w:p>
    <w:p w14:paraId="584AB82C">
      <w:pPr>
        <w:pStyle w:val="13"/>
        <w:numPr>
          <w:ilvl w:val="0"/>
          <w:numId w:val="4"/>
        </w:numPr>
        <w:snapToGrid w:val="0"/>
        <w:spacing w:before="156" w:beforeLines="50" w:after="156" w:afterLines="50" w:line="360" w:lineRule="auto"/>
        <w:ind w:left="986" w:firstLineChars="0"/>
        <w:contextualSpacing/>
        <w:rPr>
          <w:rFonts w:ascii="Tahoma" w:hAnsi="Tahoma" w:eastAsia="微软雅黑"/>
          <w:sz w:val="24"/>
          <w:szCs w:val="24"/>
        </w:rPr>
      </w:pPr>
      <w:r>
        <w:rPr>
          <w:rFonts w:hint="eastAsia" w:ascii="Tahoma" w:hAnsi="Tahoma" w:eastAsia="微软雅黑"/>
          <w:b/>
          <w:bCs/>
          <w:sz w:val="24"/>
          <w:szCs w:val="24"/>
        </w:rPr>
        <w:t>广播电台及电视广告：</w:t>
      </w:r>
      <w:r>
        <w:rPr>
          <w:rFonts w:hint="eastAsia" w:ascii="Tahoma" w:hAnsi="Tahoma" w:eastAsia="微软雅黑"/>
          <w:sz w:val="24"/>
          <w:szCs w:val="24"/>
        </w:rPr>
        <w:t>在展会开展前期进行广播电台及电视广告的播放，及时提醒吸引买家前往参观采购</w:t>
      </w:r>
    </w:p>
    <w:p w14:paraId="75163150">
      <w:pPr>
        <w:pStyle w:val="13"/>
        <w:numPr>
          <w:ilvl w:val="0"/>
          <w:numId w:val="4"/>
        </w:numPr>
        <w:snapToGrid w:val="0"/>
        <w:spacing w:before="156" w:beforeLines="50" w:after="156" w:afterLines="50" w:line="360" w:lineRule="auto"/>
        <w:ind w:left="986" w:firstLineChars="0"/>
        <w:contextualSpacing/>
        <w:rPr>
          <w:rFonts w:ascii="Tahoma" w:hAnsi="Tahoma" w:eastAsia="微软雅黑"/>
          <w:sz w:val="24"/>
          <w:szCs w:val="24"/>
        </w:rPr>
      </w:pPr>
      <w:r>
        <w:rPr>
          <w:rFonts w:hint="eastAsia" w:ascii="Tahoma" w:hAnsi="Tahoma" w:eastAsia="微软雅黑"/>
          <w:b/>
          <w:bCs/>
          <w:sz w:val="24"/>
          <w:szCs w:val="24"/>
        </w:rPr>
        <w:t>报纸及杂志广告：</w:t>
      </w:r>
      <w:r>
        <w:rPr>
          <w:rFonts w:hint="eastAsia" w:ascii="Tahoma" w:hAnsi="Tahoma" w:eastAsia="微软雅黑"/>
          <w:sz w:val="24"/>
          <w:szCs w:val="24"/>
        </w:rPr>
        <w:t>在主流的报纸、杂志上投放平面广告，持续宣传展会</w:t>
      </w:r>
    </w:p>
    <w:p w14:paraId="5C303876">
      <w:pPr>
        <w:pStyle w:val="13"/>
        <w:numPr>
          <w:ilvl w:val="0"/>
          <w:numId w:val="4"/>
        </w:numPr>
        <w:snapToGrid w:val="0"/>
        <w:spacing w:before="156" w:beforeLines="50" w:after="156" w:afterLines="50" w:line="360" w:lineRule="auto"/>
        <w:ind w:left="986" w:firstLineChars="0"/>
        <w:contextualSpacing/>
        <w:rPr>
          <w:rFonts w:ascii="Tahoma" w:hAnsi="Tahoma" w:eastAsia="微软雅黑"/>
          <w:sz w:val="24"/>
          <w:szCs w:val="24"/>
        </w:rPr>
      </w:pPr>
      <w:r>
        <w:rPr>
          <w:rFonts w:hint="eastAsia" w:ascii="Tahoma" w:hAnsi="Tahoma" w:eastAsia="微软雅黑"/>
          <w:b/>
          <w:bCs/>
          <w:sz w:val="24"/>
          <w:szCs w:val="24"/>
        </w:rPr>
        <w:t>户外广告：</w:t>
      </w:r>
      <w:r>
        <w:rPr>
          <w:rFonts w:hint="eastAsia" w:ascii="Tahoma" w:hAnsi="Tahoma" w:eastAsia="微软雅黑"/>
          <w:sz w:val="24"/>
          <w:szCs w:val="24"/>
        </w:rPr>
        <w:t>在重点商贸城、批发城以及展馆外围投放广告牌</w:t>
      </w:r>
    </w:p>
    <w:p w14:paraId="0D0E6E73">
      <w:pPr>
        <w:pStyle w:val="13"/>
        <w:numPr>
          <w:ilvl w:val="0"/>
          <w:numId w:val="4"/>
        </w:numPr>
        <w:snapToGrid w:val="0"/>
        <w:spacing w:before="156" w:beforeLines="50" w:after="156" w:afterLines="50" w:line="360" w:lineRule="auto"/>
        <w:ind w:left="986" w:firstLineChars="0"/>
        <w:contextualSpacing/>
        <w:rPr>
          <w:rFonts w:ascii="Tahoma" w:hAnsi="Tahoma" w:eastAsia="微软雅黑"/>
          <w:sz w:val="24"/>
          <w:szCs w:val="24"/>
        </w:rPr>
      </w:pPr>
      <w:r>
        <w:rPr>
          <w:rFonts w:hint="eastAsia" w:ascii="Tahoma" w:hAnsi="Tahoma" w:eastAsia="微软雅黑"/>
          <w:b/>
          <w:bCs/>
          <w:sz w:val="24"/>
          <w:szCs w:val="24"/>
        </w:rPr>
        <w:t>专业批发市场买家直邀：</w:t>
      </w:r>
      <w:r>
        <w:rPr>
          <w:rFonts w:hint="eastAsia" w:ascii="Tahoma" w:hAnsi="Tahoma" w:eastAsia="微软雅黑"/>
          <w:sz w:val="24"/>
          <w:szCs w:val="24"/>
        </w:rPr>
        <w:t>覆盖重点商贸城、批发城，派发邀请函邀约买家</w:t>
      </w:r>
    </w:p>
    <w:p w14:paraId="77EA8CBD">
      <w:pPr>
        <w:pStyle w:val="13"/>
        <w:numPr>
          <w:ilvl w:val="0"/>
          <w:numId w:val="4"/>
        </w:numPr>
        <w:snapToGrid w:val="0"/>
        <w:spacing w:before="156" w:beforeLines="50" w:after="156" w:afterLines="50" w:line="360" w:lineRule="auto"/>
        <w:ind w:left="986" w:firstLineChars="0"/>
        <w:contextualSpacing/>
        <w:rPr>
          <w:rFonts w:ascii="Tahoma" w:hAnsi="Tahoma" w:eastAsia="微软雅黑"/>
          <w:sz w:val="24"/>
          <w:szCs w:val="24"/>
        </w:rPr>
      </w:pPr>
      <w:r>
        <w:rPr>
          <w:rFonts w:hint="eastAsia" w:ascii="Tahoma" w:hAnsi="Tahoma" w:eastAsia="微软雅黑"/>
          <w:b/>
          <w:bCs/>
          <w:sz w:val="24"/>
          <w:szCs w:val="24"/>
        </w:rPr>
        <w:t>商务邀请函直邮推广：</w:t>
      </w:r>
      <w:r>
        <w:rPr>
          <w:rFonts w:hint="eastAsia" w:ascii="Tahoma" w:hAnsi="Tahoma" w:eastAsia="微软雅黑"/>
          <w:sz w:val="24"/>
          <w:szCs w:val="24"/>
        </w:rPr>
        <w:t>印制宣传彩页，直接寄送给重点买家，邀请其前来观展</w:t>
      </w:r>
    </w:p>
    <w:p w14:paraId="6BEA4C91">
      <w:pPr>
        <w:pStyle w:val="13"/>
        <w:numPr>
          <w:ilvl w:val="0"/>
          <w:numId w:val="4"/>
        </w:numPr>
        <w:snapToGrid w:val="0"/>
        <w:spacing w:before="156" w:beforeLines="50" w:after="156" w:afterLines="50" w:line="360" w:lineRule="auto"/>
        <w:ind w:left="986" w:firstLineChars="0"/>
        <w:contextualSpacing/>
        <w:rPr>
          <w:rFonts w:ascii="Tahoma" w:hAnsi="Tahoma" w:eastAsia="微软雅黑"/>
          <w:sz w:val="24"/>
          <w:szCs w:val="24"/>
        </w:rPr>
      </w:pPr>
      <w:r>
        <w:rPr>
          <w:rFonts w:hint="eastAsia" w:ascii="Tahoma" w:hAnsi="Tahoma" w:eastAsia="微软雅黑"/>
          <w:b/>
          <w:bCs/>
          <w:sz w:val="24"/>
          <w:szCs w:val="24"/>
        </w:rPr>
        <w:t>行业协会推广：</w:t>
      </w:r>
      <w:r>
        <w:rPr>
          <w:rFonts w:hint="eastAsia" w:ascii="Tahoma" w:hAnsi="Tahoma" w:eastAsia="微软雅黑"/>
          <w:sz w:val="24"/>
          <w:szCs w:val="24"/>
        </w:rPr>
        <w:t>与相关商协会联合，借助其会员资源宣传展览，并组团前来洽谈采购</w:t>
      </w:r>
    </w:p>
    <w:p w14:paraId="290F9FB8">
      <w:pPr>
        <w:pStyle w:val="13"/>
        <w:numPr>
          <w:ilvl w:val="0"/>
          <w:numId w:val="4"/>
        </w:numPr>
        <w:snapToGrid w:val="0"/>
        <w:spacing w:before="156" w:beforeLines="50" w:after="156" w:afterLines="50" w:line="360" w:lineRule="auto"/>
        <w:ind w:left="986" w:firstLineChars="0"/>
        <w:contextualSpacing/>
        <w:rPr>
          <w:rFonts w:ascii="Tahoma" w:hAnsi="Tahoma" w:eastAsia="微软雅黑"/>
          <w:sz w:val="24"/>
          <w:szCs w:val="24"/>
        </w:rPr>
      </w:pPr>
      <w:r>
        <w:rPr>
          <w:rFonts w:hint="eastAsia" w:ascii="Tahoma" w:hAnsi="Tahoma" w:eastAsia="微软雅黑"/>
          <w:b/>
          <w:bCs/>
          <w:sz w:val="24"/>
          <w:szCs w:val="24"/>
        </w:rPr>
        <w:t>电商平台推广：</w:t>
      </w:r>
      <w:r>
        <w:rPr>
          <w:rFonts w:hint="eastAsia" w:ascii="Tahoma" w:hAnsi="Tahoma" w:eastAsia="微软雅黑"/>
          <w:sz w:val="24"/>
          <w:szCs w:val="24"/>
        </w:rPr>
        <w:t>在知名电商平台推广，推动电商买家参加展会</w:t>
      </w:r>
    </w:p>
    <w:p w14:paraId="635274A8">
      <w:pPr>
        <w:pStyle w:val="13"/>
        <w:numPr>
          <w:ilvl w:val="0"/>
          <w:numId w:val="4"/>
        </w:numPr>
        <w:snapToGrid w:val="0"/>
        <w:spacing w:before="156" w:beforeLines="50" w:after="156" w:afterLines="50" w:line="360" w:lineRule="auto"/>
        <w:ind w:left="986" w:firstLineChars="0"/>
        <w:contextualSpacing/>
        <w:rPr>
          <w:rFonts w:ascii="Tahoma" w:hAnsi="Tahoma" w:eastAsia="微软雅黑"/>
          <w:sz w:val="24"/>
          <w:szCs w:val="24"/>
        </w:rPr>
      </w:pPr>
      <w:r>
        <w:rPr>
          <w:rFonts w:hint="eastAsia" w:ascii="Tahoma" w:hAnsi="Tahoma" w:eastAsia="微软雅黑"/>
          <w:b/>
          <w:bCs/>
          <w:sz w:val="24"/>
          <w:szCs w:val="24"/>
        </w:rPr>
        <w:t>星级商务酒店推广：</w:t>
      </w:r>
      <w:r>
        <w:rPr>
          <w:rFonts w:hint="eastAsia" w:ascii="Tahoma" w:hAnsi="Tahoma" w:eastAsia="微软雅黑"/>
          <w:sz w:val="24"/>
          <w:szCs w:val="24"/>
        </w:rPr>
        <w:t>在当地星级商务连锁酒店投放广告，推广展会品牌，让更多的商圈买家知道该展会</w:t>
      </w:r>
    </w:p>
    <w:p w14:paraId="21F6364C">
      <w:pPr>
        <w:pStyle w:val="13"/>
        <w:numPr>
          <w:ilvl w:val="0"/>
          <w:numId w:val="4"/>
        </w:numPr>
        <w:snapToGrid w:val="0"/>
        <w:spacing w:before="156" w:beforeLines="50" w:after="156" w:afterLines="50" w:line="360" w:lineRule="auto"/>
        <w:ind w:left="986" w:firstLineChars="0"/>
        <w:contextualSpacing/>
        <w:rPr>
          <w:rFonts w:ascii="Tahoma" w:hAnsi="Tahoma" w:eastAsia="微软雅黑"/>
          <w:sz w:val="24"/>
          <w:szCs w:val="24"/>
        </w:rPr>
      </w:pPr>
      <w:r>
        <w:rPr>
          <w:rFonts w:hint="eastAsia" w:ascii="Tahoma" w:hAnsi="Tahoma" w:eastAsia="微软雅黑"/>
          <w:b/>
          <w:bCs/>
          <w:sz w:val="24"/>
          <w:szCs w:val="24"/>
        </w:rPr>
        <w:t>社交媒体及网络媒体推广：</w:t>
      </w:r>
      <w:r>
        <w:rPr>
          <w:rFonts w:hint="eastAsia" w:ascii="Tahoma" w:hAnsi="Tahoma" w:eastAsia="微软雅黑"/>
          <w:sz w:val="24"/>
          <w:szCs w:val="24"/>
        </w:rPr>
        <w:t>全球三大主流社交媒体及当地主流网络媒体推广</w:t>
      </w:r>
    </w:p>
    <w:p w14:paraId="5DD9CADE">
      <w:pPr>
        <w:pStyle w:val="13"/>
        <w:numPr>
          <w:ilvl w:val="0"/>
          <w:numId w:val="4"/>
        </w:numPr>
        <w:snapToGrid w:val="0"/>
        <w:spacing w:before="156" w:beforeLines="50" w:after="156" w:afterLines="50" w:line="360" w:lineRule="auto"/>
        <w:ind w:left="986" w:firstLineChars="0"/>
        <w:contextualSpacing/>
        <w:rPr>
          <w:rFonts w:ascii="Tahoma" w:hAnsi="Tahoma" w:eastAsia="微软雅黑"/>
          <w:sz w:val="24"/>
          <w:szCs w:val="24"/>
        </w:rPr>
      </w:pPr>
      <w:r>
        <w:rPr>
          <w:rFonts w:hint="eastAsia" w:ascii="Tahoma" w:hAnsi="Tahoma" w:eastAsia="微软雅黑"/>
          <w:b/>
          <w:bCs/>
          <w:sz w:val="24"/>
          <w:szCs w:val="24"/>
        </w:rPr>
        <w:t>新闻发布会推广：</w:t>
      </w:r>
      <w:r>
        <w:rPr>
          <w:rFonts w:hint="eastAsia" w:ascii="Tahoma" w:hAnsi="Tahoma" w:eastAsia="微软雅黑"/>
          <w:sz w:val="24"/>
          <w:szCs w:val="24"/>
        </w:rPr>
        <w:t>邀约当地主流媒体进行展会发布推广</w:t>
      </w:r>
    </w:p>
    <w:p w14:paraId="088754B3">
      <w:pPr>
        <w:pStyle w:val="13"/>
        <w:numPr>
          <w:ilvl w:val="0"/>
          <w:numId w:val="4"/>
        </w:numPr>
        <w:snapToGrid w:val="0"/>
        <w:spacing w:before="156" w:beforeLines="50" w:after="156" w:afterLines="50" w:line="360" w:lineRule="auto"/>
        <w:ind w:left="986" w:firstLineChars="0"/>
        <w:contextualSpacing/>
        <w:rPr>
          <w:rFonts w:ascii="Tahoma" w:hAnsi="Tahoma" w:eastAsia="微软雅黑"/>
          <w:sz w:val="24"/>
          <w:szCs w:val="24"/>
        </w:rPr>
      </w:pPr>
      <w:r>
        <w:rPr>
          <w:rFonts w:hint="eastAsia" w:ascii="Tahoma" w:hAnsi="Tahoma" w:eastAsia="微软雅黑"/>
          <w:b/>
          <w:bCs/>
          <w:sz w:val="24"/>
          <w:szCs w:val="24"/>
        </w:rPr>
        <w:t>手机短信推广：</w:t>
      </w:r>
      <w:r>
        <w:rPr>
          <w:rFonts w:hint="eastAsia" w:ascii="Tahoma" w:hAnsi="Tahoma" w:eastAsia="微软雅黑"/>
          <w:sz w:val="24"/>
          <w:szCs w:val="24"/>
        </w:rPr>
        <w:t>发送邀约短信给到专业玩具婴童用品买家</w:t>
      </w:r>
    </w:p>
    <w:p w14:paraId="1B3FEEA7">
      <w:pPr>
        <w:snapToGrid w:val="0"/>
        <w:spacing w:before="156" w:beforeLines="50" w:after="156" w:afterLines="50" w:line="360" w:lineRule="auto"/>
        <w:contextualSpacing/>
        <w:rPr>
          <w:rFonts w:ascii="Tahoma" w:hAnsi="Tahoma" w:eastAsia="微软雅黑"/>
          <w:sz w:val="24"/>
          <w:szCs w:val="24"/>
        </w:rPr>
      </w:pPr>
    </w:p>
    <w:p w14:paraId="0A141279">
      <w:pPr>
        <w:snapToGrid w:val="0"/>
        <w:spacing w:before="156" w:beforeLines="50" w:after="156" w:afterLines="50" w:line="360" w:lineRule="auto"/>
        <w:contextualSpacing/>
        <w:rPr>
          <w:rFonts w:ascii="Tahoma" w:hAnsi="Tahoma" w:eastAsia="微软雅黑"/>
          <w:sz w:val="24"/>
          <w:szCs w:val="24"/>
        </w:rPr>
      </w:pPr>
    </w:p>
    <w:p w14:paraId="0B115E28">
      <w:pPr>
        <w:snapToGrid w:val="0"/>
        <w:spacing w:before="156" w:beforeLines="50" w:after="156" w:afterLines="50" w:line="360" w:lineRule="auto"/>
        <w:contextualSpacing/>
        <w:rPr>
          <w:rFonts w:ascii="Tahoma" w:hAnsi="Tahoma" w:eastAsia="微软雅黑"/>
          <w:sz w:val="24"/>
          <w:szCs w:val="24"/>
        </w:rPr>
      </w:pPr>
    </w:p>
    <w:p w14:paraId="195EF02C">
      <w:pPr>
        <w:snapToGrid w:val="0"/>
        <w:spacing w:before="156" w:beforeLines="50" w:after="156" w:afterLines="50" w:line="360" w:lineRule="auto"/>
        <w:contextualSpacing/>
        <w:rPr>
          <w:rFonts w:ascii="Tahoma" w:hAnsi="Tahoma" w:eastAsia="微软雅黑"/>
          <w:sz w:val="24"/>
          <w:szCs w:val="24"/>
        </w:rPr>
      </w:pPr>
    </w:p>
    <w:p w14:paraId="6A8577EE">
      <w:pPr>
        <w:snapToGrid w:val="0"/>
        <w:spacing w:before="156" w:beforeLines="50" w:after="156" w:afterLines="50" w:line="360" w:lineRule="auto"/>
        <w:contextualSpacing/>
        <w:rPr>
          <w:rFonts w:ascii="Tahoma" w:hAnsi="Tahoma" w:eastAsia="微软雅黑"/>
          <w:sz w:val="24"/>
          <w:szCs w:val="24"/>
        </w:rPr>
      </w:pPr>
    </w:p>
    <w:bookmarkEnd w:id="0"/>
    <w:p w14:paraId="5EE31DC8">
      <w:pPr>
        <w:pStyle w:val="13"/>
        <w:numPr>
          <w:ilvl w:val="0"/>
          <w:numId w:val="5"/>
        </w:numPr>
        <w:spacing w:line="360" w:lineRule="auto"/>
        <w:ind w:firstLineChars="0"/>
        <w:jc w:val="left"/>
        <w:rPr>
          <w:rFonts w:hint="eastAsia" w:ascii="微软雅黑" w:hAnsi="微软雅黑" w:eastAsia="微软雅黑" w:cs="微软雅黑"/>
          <w:b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kern w:val="0"/>
          <w:sz w:val="28"/>
          <w:szCs w:val="28"/>
        </w:rPr>
        <w:t>展馆概况</w:t>
      </w:r>
    </w:p>
    <w:p w14:paraId="2944A69F">
      <w:pPr>
        <w:widowControl/>
        <w:shd w:val="clear" w:color="auto" w:fill="FFFFFF"/>
        <w:spacing w:line="480" w:lineRule="atLeast"/>
        <w:ind w:left="708" w:leftChars="337" w:firstLine="1"/>
        <w:jc w:val="left"/>
        <w:textAlignment w:val="baseline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越南河内国际展览中心位于越南河内的黄金地段，距河内市诺白国际机场约45分钟车程，通过各类公共交通工具，可以便利地到达市中心。越南河内国际展览中心总展览面积30000平方米，配备了各类设施，每年举办几十场国家级展会和国际性展会，接待展商上百万人。</w:t>
      </w:r>
    </w:p>
    <w:p w14:paraId="715EC87F">
      <w:pPr>
        <w:ind w:left="567" w:leftChars="270" w:firstLine="480" w:firstLineChars="200"/>
        <w:jc w:val="left"/>
        <w:rPr>
          <w:rFonts w:ascii="Tahoma" w:hAnsi="Tahoma" w:eastAsia="微软雅黑"/>
          <w:sz w:val="24"/>
          <w:szCs w:val="24"/>
        </w:rPr>
      </w:pPr>
    </w:p>
    <w:p w14:paraId="296BD9E3">
      <w:pPr>
        <w:jc w:val="center"/>
        <w:rPr>
          <w:rFonts w:hint="eastAsia" w:ascii="微软雅黑" w:hAnsi="微软雅黑"/>
          <w:b/>
          <w:sz w:val="30"/>
          <w:szCs w:val="30"/>
        </w:rPr>
      </w:pPr>
      <w:r>
        <w:rPr>
          <w:rFonts w:hint="eastAsia"/>
        </w:rPr>
        <w:drawing>
          <wp:inline distT="0" distB="0" distL="0" distR="0">
            <wp:extent cx="6390640" cy="4260215"/>
            <wp:effectExtent l="0" t="0" r="0" b="6985"/>
            <wp:docPr id="246718929" name="图片 1" descr="河内国际鞋类、皮革及工业设备展览会 – 显辉第三十三届广州国际鞋类、皮革及工业设备展览会 | 2025年5月15-17日 | 广交会展馆D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18929" name="图片 1" descr="河内国际鞋类、皮革及工业设备展览会 – 显辉第三十三届广州国际鞋类、皮革及工业设备展览会 | 2025年5月15-17日 | 广交会展馆D区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2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62E06">
      <w:pPr>
        <w:spacing w:line="0" w:lineRule="atLeast"/>
        <w:ind w:firstLine="1501" w:firstLineChars="500"/>
        <w:rPr>
          <w:rFonts w:hint="eastAsia" w:ascii="微软雅黑" w:hAnsi="微软雅黑" w:eastAsia="微软雅黑"/>
          <w:b/>
          <w:sz w:val="30"/>
          <w:szCs w:val="30"/>
        </w:rPr>
      </w:pPr>
    </w:p>
    <w:p w14:paraId="233352CE">
      <w:pPr>
        <w:spacing w:line="0" w:lineRule="atLeast"/>
        <w:ind w:firstLine="2401" w:firstLineChars="800"/>
        <w:rPr>
          <w:rFonts w:hint="eastAsia" w:ascii="微软雅黑" w:hAnsi="微软雅黑" w:eastAsia="微软雅黑"/>
          <w:b/>
          <w:sz w:val="30"/>
          <w:szCs w:val="30"/>
        </w:rPr>
      </w:pPr>
    </w:p>
    <w:p w14:paraId="09E113C9">
      <w:pPr>
        <w:spacing w:line="0" w:lineRule="atLeast"/>
        <w:ind w:firstLine="2401" w:firstLineChars="800"/>
        <w:rPr>
          <w:rFonts w:hint="eastAsia" w:ascii="微软雅黑" w:hAnsi="微软雅黑" w:eastAsia="微软雅黑"/>
          <w:b/>
          <w:sz w:val="30"/>
          <w:szCs w:val="30"/>
        </w:rPr>
      </w:pPr>
    </w:p>
    <w:p w14:paraId="4A7CFC2D">
      <w:pPr>
        <w:spacing w:line="0" w:lineRule="atLeast"/>
        <w:ind w:firstLine="2401" w:firstLineChars="800"/>
        <w:rPr>
          <w:rFonts w:hint="eastAsia" w:ascii="微软雅黑" w:hAnsi="微软雅黑" w:eastAsia="微软雅黑"/>
          <w:b/>
          <w:sz w:val="30"/>
          <w:szCs w:val="30"/>
        </w:rPr>
      </w:pPr>
    </w:p>
    <w:p w14:paraId="315CF0B2">
      <w:pPr>
        <w:spacing w:line="0" w:lineRule="atLeast"/>
        <w:ind w:firstLine="2401" w:firstLineChars="800"/>
        <w:rPr>
          <w:rFonts w:hint="eastAsia" w:ascii="微软雅黑" w:hAnsi="微软雅黑" w:eastAsia="微软雅黑"/>
          <w:b/>
          <w:sz w:val="30"/>
          <w:szCs w:val="30"/>
        </w:rPr>
      </w:pPr>
    </w:p>
    <w:p w14:paraId="4AC70E34">
      <w:pPr>
        <w:spacing w:line="0" w:lineRule="atLeast"/>
        <w:rPr>
          <w:rFonts w:hint="eastAsia" w:ascii="微软雅黑" w:hAnsi="微软雅黑" w:eastAsia="微软雅黑"/>
          <w:b/>
          <w:sz w:val="30"/>
          <w:szCs w:val="30"/>
        </w:rPr>
      </w:pPr>
    </w:p>
    <w:p w14:paraId="7A336ABE">
      <w:pPr>
        <w:spacing w:line="0" w:lineRule="atLeast"/>
        <w:ind w:firstLine="2401" w:firstLineChars="800"/>
        <w:rPr>
          <w:rFonts w:hint="eastAsia" w:ascii="微软雅黑" w:hAnsi="微软雅黑" w:eastAsia="微软雅黑"/>
          <w:b/>
          <w:sz w:val="30"/>
          <w:szCs w:val="30"/>
        </w:rPr>
      </w:pPr>
    </w:p>
    <w:p w14:paraId="10C0BC00">
      <w:pPr>
        <w:spacing w:line="0" w:lineRule="atLeast"/>
        <w:jc w:val="center"/>
        <w:rPr>
          <w:rFonts w:hint="eastAsia" w:ascii="微软雅黑" w:hAnsi="微软雅黑" w:eastAsia="微软雅黑" w:cs="微软雅黑"/>
          <w:b/>
          <w:sz w:val="30"/>
          <w:szCs w:val="30"/>
        </w:rPr>
      </w:pPr>
      <w:r>
        <w:rPr>
          <w:rFonts w:hint="eastAsia" w:ascii="微软雅黑" w:hAnsi="微软雅黑" w:eastAsia="微软雅黑"/>
          <w:b/>
          <w:sz w:val="30"/>
          <w:szCs w:val="30"/>
        </w:rPr>
        <w:t>2025越南</w:t>
      </w:r>
      <w:r>
        <w:rPr>
          <w:rFonts w:ascii="微软雅黑" w:hAnsi="微软雅黑" w:eastAsia="微软雅黑"/>
          <w:b/>
          <w:sz w:val="30"/>
          <w:szCs w:val="30"/>
        </w:rPr>
        <w:t>国际</w:t>
      </w:r>
      <w:r>
        <w:rPr>
          <w:rFonts w:hint="eastAsia" w:ascii="微软雅黑" w:hAnsi="微软雅黑" w:eastAsia="微软雅黑"/>
          <w:b/>
          <w:sz w:val="30"/>
          <w:szCs w:val="30"/>
        </w:rPr>
        <w:t>玩具及婴童</w:t>
      </w:r>
      <w:r>
        <w:rPr>
          <w:rFonts w:ascii="微软雅黑" w:hAnsi="微软雅黑" w:eastAsia="微软雅黑"/>
          <w:b/>
          <w:sz w:val="30"/>
          <w:szCs w:val="30"/>
        </w:rPr>
        <w:t>用品展</w:t>
      </w:r>
      <w:r>
        <w:rPr>
          <w:rFonts w:hint="eastAsia" w:ascii="微软雅黑" w:hAnsi="微软雅黑" w:eastAsia="微软雅黑" w:cs="微软雅黑"/>
          <w:b/>
          <w:sz w:val="30"/>
          <w:szCs w:val="30"/>
        </w:rPr>
        <w:t>【I</w:t>
      </w:r>
      <w:r>
        <w:rPr>
          <w:rFonts w:ascii="微软雅黑" w:hAnsi="微软雅黑" w:eastAsia="微软雅黑" w:cs="微软雅黑"/>
          <w:b/>
          <w:sz w:val="30"/>
          <w:szCs w:val="30"/>
        </w:rPr>
        <w:t>BT</w:t>
      </w:r>
      <w:r>
        <w:rPr>
          <w:rFonts w:hint="eastAsia" w:ascii="微软雅黑" w:hAnsi="微软雅黑" w:eastAsia="微软雅黑" w:cs="微软雅黑"/>
          <w:b/>
          <w:sz w:val="30"/>
          <w:szCs w:val="30"/>
        </w:rPr>
        <w:t>E•Hanoi】</w:t>
      </w:r>
    </w:p>
    <w:tbl>
      <w:tblPr>
        <w:tblStyle w:val="6"/>
        <w:tblpPr w:leftFromText="180" w:rightFromText="180" w:vertAnchor="text" w:horzAnchor="page" w:tblpX="733" w:tblpY="846"/>
        <w:tblOverlap w:val="never"/>
        <w:tblW w:w="1048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8"/>
        <w:gridCol w:w="468"/>
        <w:gridCol w:w="1176"/>
        <w:gridCol w:w="1726"/>
        <w:gridCol w:w="844"/>
        <w:gridCol w:w="388"/>
        <w:gridCol w:w="141"/>
        <w:gridCol w:w="1422"/>
        <w:gridCol w:w="279"/>
        <w:gridCol w:w="1197"/>
        <w:gridCol w:w="591"/>
        <w:gridCol w:w="1785"/>
      </w:tblGrid>
      <w:tr w14:paraId="1C5349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2112" w:type="dxa"/>
            <w:gridSpan w:val="3"/>
            <w:vMerge w:val="restart"/>
          </w:tcPr>
          <w:p w14:paraId="36341433">
            <w:pPr>
              <w:pStyle w:val="16"/>
              <w:spacing w:before="197"/>
              <w:ind w:left="455"/>
              <w:rPr>
                <w:sz w:val="24"/>
              </w:rPr>
            </w:pPr>
            <w:r>
              <w:rPr>
                <w:sz w:val="24"/>
              </w:rPr>
              <w:t>展览会名称</w:t>
            </w:r>
          </w:p>
        </w:tc>
        <w:tc>
          <w:tcPr>
            <w:tcW w:w="4521" w:type="dxa"/>
            <w:gridSpan w:val="5"/>
            <w:vMerge w:val="restart"/>
            <w:vAlign w:val="center"/>
          </w:tcPr>
          <w:p w14:paraId="47AEB11C">
            <w:pPr>
              <w:pStyle w:val="16"/>
              <w:jc w:val="center"/>
              <w:rPr>
                <w:rFonts w:ascii="Times New Roman"/>
                <w:sz w:val="24"/>
                <w:lang w:val="en-US"/>
              </w:rPr>
            </w:pPr>
            <w:r>
              <w:rPr>
                <w:rFonts w:hint="eastAsia"/>
                <w:sz w:val="24"/>
                <w:lang w:val="en-US"/>
              </w:rPr>
              <w:t xml:space="preserve">2025 </w:t>
            </w:r>
            <w:r>
              <w:rPr>
                <w:rFonts w:hint="eastAsia"/>
                <w:sz w:val="24"/>
              </w:rPr>
              <w:t>越南（河内）国际玩具及婴童用品</w:t>
            </w:r>
            <w:r>
              <w:rPr>
                <w:rFonts w:hint="eastAsia"/>
                <w:sz w:val="24"/>
                <w:lang w:val="en-US"/>
              </w:rPr>
              <w:t>展</w:t>
            </w:r>
          </w:p>
        </w:tc>
        <w:tc>
          <w:tcPr>
            <w:tcW w:w="1476" w:type="dxa"/>
            <w:gridSpan w:val="2"/>
          </w:tcPr>
          <w:p w14:paraId="368F8B7C">
            <w:pPr>
              <w:pStyle w:val="16"/>
              <w:spacing w:before="19" w:line="306" w:lineRule="exact"/>
              <w:ind w:left="108"/>
              <w:rPr>
                <w:sz w:val="24"/>
              </w:rPr>
            </w:pPr>
            <w:r>
              <w:rPr>
                <w:sz w:val="24"/>
              </w:rPr>
              <w:t>申请光地</w:t>
            </w:r>
          </w:p>
        </w:tc>
        <w:tc>
          <w:tcPr>
            <w:tcW w:w="2376" w:type="dxa"/>
            <w:gridSpan w:val="2"/>
          </w:tcPr>
          <w:p w14:paraId="7B28D404">
            <w:pPr>
              <w:pStyle w:val="16"/>
              <w:spacing w:before="19" w:line="306" w:lineRule="exact"/>
              <w:ind w:left="828"/>
              <w:rPr>
                <w:sz w:val="24"/>
              </w:rPr>
            </w:pPr>
            <w:r>
              <w:rPr>
                <w:sz w:val="24"/>
              </w:rPr>
              <w:t>（平方米）</w:t>
            </w:r>
          </w:p>
        </w:tc>
      </w:tr>
      <w:tr w14:paraId="004CF1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2112" w:type="dxa"/>
            <w:gridSpan w:val="3"/>
            <w:vMerge w:val="continue"/>
            <w:tcBorders>
              <w:top w:val="nil"/>
            </w:tcBorders>
          </w:tcPr>
          <w:p w14:paraId="529C721B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4521" w:type="dxa"/>
            <w:gridSpan w:val="5"/>
            <w:vMerge w:val="continue"/>
            <w:tcBorders>
              <w:top w:val="nil"/>
            </w:tcBorders>
          </w:tcPr>
          <w:p w14:paraId="7FAB4B94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1476" w:type="dxa"/>
            <w:gridSpan w:val="2"/>
          </w:tcPr>
          <w:p w14:paraId="107D989E">
            <w:pPr>
              <w:pStyle w:val="16"/>
              <w:spacing w:before="19" w:line="306" w:lineRule="exact"/>
              <w:ind w:left="108"/>
              <w:rPr>
                <w:sz w:val="24"/>
              </w:rPr>
            </w:pPr>
            <w:r>
              <w:rPr>
                <w:sz w:val="24"/>
              </w:rPr>
              <w:t>申请标摊</w:t>
            </w:r>
          </w:p>
        </w:tc>
        <w:tc>
          <w:tcPr>
            <w:tcW w:w="2376" w:type="dxa"/>
            <w:gridSpan w:val="2"/>
          </w:tcPr>
          <w:p w14:paraId="182DC6C5">
            <w:pPr>
              <w:pStyle w:val="16"/>
              <w:spacing w:before="19" w:line="306" w:lineRule="exact"/>
              <w:ind w:left="1296"/>
              <w:rPr>
                <w:sz w:val="24"/>
              </w:rPr>
            </w:pPr>
            <w:r>
              <w:rPr>
                <w:sz w:val="24"/>
              </w:rPr>
              <w:t>（个）</w:t>
            </w:r>
          </w:p>
        </w:tc>
      </w:tr>
      <w:tr w14:paraId="49BEB4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2112" w:type="dxa"/>
            <w:gridSpan w:val="3"/>
          </w:tcPr>
          <w:p w14:paraId="5F8D68A7">
            <w:pPr>
              <w:pStyle w:val="16"/>
              <w:spacing w:before="82"/>
              <w:ind w:left="575"/>
              <w:rPr>
                <w:sz w:val="24"/>
              </w:rPr>
            </w:pPr>
            <w:r>
              <w:rPr>
                <w:sz w:val="24"/>
              </w:rPr>
              <w:t>展出日期</w:t>
            </w:r>
          </w:p>
        </w:tc>
        <w:tc>
          <w:tcPr>
            <w:tcW w:w="1726" w:type="dxa"/>
            <w:vAlign w:val="center"/>
          </w:tcPr>
          <w:p w14:paraId="0719E216">
            <w:pPr>
              <w:pStyle w:val="16"/>
              <w:jc w:val="center"/>
              <w:rPr>
                <w:rFonts w:ascii="Times New Roman"/>
                <w:sz w:val="20"/>
                <w:szCs w:val="20"/>
              </w:rPr>
            </w:pPr>
            <w:r>
              <w:rPr>
                <w:rFonts w:hint="eastAsia"/>
                <w:sz w:val="24"/>
                <w:lang w:val="en-US"/>
              </w:rPr>
              <w:t>6月</w:t>
            </w:r>
            <w:r>
              <w:rPr>
                <w:sz w:val="24"/>
                <w:lang w:val="en-US"/>
              </w:rPr>
              <w:t>1</w:t>
            </w:r>
            <w:r>
              <w:rPr>
                <w:rFonts w:hint="eastAsia"/>
                <w:sz w:val="24"/>
                <w:lang w:val="en-US"/>
              </w:rPr>
              <w:t>9-</w:t>
            </w:r>
            <w:r>
              <w:rPr>
                <w:sz w:val="24"/>
                <w:lang w:val="en-US"/>
              </w:rPr>
              <w:t>2</w:t>
            </w:r>
            <w:r>
              <w:rPr>
                <w:rFonts w:hint="eastAsia"/>
                <w:sz w:val="24"/>
                <w:lang w:val="en-US"/>
              </w:rPr>
              <w:t>1日</w:t>
            </w:r>
          </w:p>
        </w:tc>
        <w:tc>
          <w:tcPr>
            <w:tcW w:w="844" w:type="dxa"/>
          </w:tcPr>
          <w:p w14:paraId="0D4DF51B">
            <w:pPr>
              <w:pStyle w:val="16"/>
              <w:spacing w:before="82"/>
              <w:ind w:left="108"/>
              <w:rPr>
                <w:sz w:val="24"/>
              </w:rPr>
            </w:pPr>
            <w:r>
              <w:rPr>
                <w:sz w:val="24"/>
              </w:rPr>
              <w:t>地点</w:t>
            </w:r>
          </w:p>
        </w:tc>
        <w:tc>
          <w:tcPr>
            <w:tcW w:w="1951" w:type="dxa"/>
            <w:gridSpan w:val="3"/>
            <w:vAlign w:val="center"/>
          </w:tcPr>
          <w:p w14:paraId="1C74F0F7">
            <w:pPr>
              <w:pStyle w:val="16"/>
              <w:jc w:val="center"/>
              <w:rPr>
                <w:rFonts w:ascii="Times New Roman"/>
                <w:sz w:val="24"/>
              </w:rPr>
            </w:pPr>
            <w:r>
              <w:rPr>
                <w:rFonts w:hint="eastAsia"/>
                <w:sz w:val="24"/>
              </w:rPr>
              <w:t>越南河内</w:t>
            </w:r>
          </w:p>
        </w:tc>
        <w:tc>
          <w:tcPr>
            <w:tcW w:w="1476" w:type="dxa"/>
            <w:gridSpan w:val="2"/>
          </w:tcPr>
          <w:p w14:paraId="0F8E09C1">
            <w:pPr>
              <w:pStyle w:val="16"/>
              <w:spacing w:before="82"/>
              <w:ind w:left="108"/>
              <w:rPr>
                <w:sz w:val="24"/>
              </w:rPr>
            </w:pPr>
            <w:r>
              <w:rPr>
                <w:sz w:val="24"/>
              </w:rPr>
              <w:t>展位费</w:t>
            </w:r>
          </w:p>
        </w:tc>
        <w:tc>
          <w:tcPr>
            <w:tcW w:w="2376" w:type="dxa"/>
            <w:gridSpan w:val="2"/>
          </w:tcPr>
          <w:p w14:paraId="24B4F78B">
            <w:pPr>
              <w:pStyle w:val="16"/>
              <w:rPr>
                <w:rFonts w:ascii="Times New Roman"/>
                <w:sz w:val="24"/>
              </w:rPr>
            </w:pPr>
          </w:p>
        </w:tc>
      </w:tr>
      <w:tr w14:paraId="7AFFE7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2112" w:type="dxa"/>
            <w:gridSpan w:val="3"/>
            <w:vMerge w:val="restart"/>
          </w:tcPr>
          <w:p w14:paraId="61C50DA3">
            <w:pPr>
              <w:pStyle w:val="16"/>
              <w:spacing w:before="164"/>
              <w:ind w:left="335"/>
              <w:rPr>
                <w:sz w:val="24"/>
              </w:rPr>
            </w:pPr>
            <w:r>
              <w:rPr>
                <w:sz w:val="24"/>
              </w:rPr>
              <w:t>参展单位名称</w:t>
            </w:r>
          </w:p>
        </w:tc>
        <w:tc>
          <w:tcPr>
            <w:tcW w:w="1726" w:type="dxa"/>
            <w:vAlign w:val="center"/>
          </w:tcPr>
          <w:p w14:paraId="2B8DDFF6">
            <w:pPr>
              <w:pStyle w:val="16"/>
              <w:spacing w:before="3" w:line="289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中文</w:t>
            </w:r>
          </w:p>
        </w:tc>
        <w:tc>
          <w:tcPr>
            <w:tcW w:w="6647" w:type="dxa"/>
            <w:gridSpan w:val="8"/>
          </w:tcPr>
          <w:p w14:paraId="64BCBC55">
            <w:pPr>
              <w:pStyle w:val="16"/>
              <w:rPr>
                <w:rFonts w:ascii="Times New Roman"/>
                <w:sz w:val="22"/>
              </w:rPr>
            </w:pPr>
          </w:p>
        </w:tc>
      </w:tr>
      <w:tr w14:paraId="3D0BEF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112" w:type="dxa"/>
            <w:gridSpan w:val="3"/>
            <w:vMerge w:val="continue"/>
            <w:tcBorders>
              <w:top w:val="nil"/>
            </w:tcBorders>
          </w:tcPr>
          <w:p w14:paraId="292E826C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1726" w:type="dxa"/>
            <w:vAlign w:val="center"/>
          </w:tcPr>
          <w:p w14:paraId="288EA90B">
            <w:pPr>
              <w:pStyle w:val="16"/>
              <w:spacing w:before="3" w:line="289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英文</w:t>
            </w:r>
          </w:p>
        </w:tc>
        <w:tc>
          <w:tcPr>
            <w:tcW w:w="6647" w:type="dxa"/>
            <w:gridSpan w:val="8"/>
          </w:tcPr>
          <w:p w14:paraId="1F017CF7">
            <w:pPr>
              <w:pStyle w:val="16"/>
              <w:rPr>
                <w:rFonts w:ascii="Times New Roman"/>
                <w:sz w:val="22"/>
              </w:rPr>
            </w:pPr>
          </w:p>
        </w:tc>
      </w:tr>
      <w:tr w14:paraId="2C5668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3838" w:type="dxa"/>
            <w:gridSpan w:val="4"/>
          </w:tcPr>
          <w:p w14:paraId="0DA85445">
            <w:pPr>
              <w:pStyle w:val="16"/>
              <w:spacing w:before="158"/>
              <w:ind w:left="1287" w:right="1275"/>
              <w:jc w:val="center"/>
              <w:rPr>
                <w:sz w:val="24"/>
              </w:rPr>
            </w:pPr>
            <w:r>
              <w:rPr>
                <w:sz w:val="24"/>
              </w:rPr>
              <w:t>参展人数</w:t>
            </w:r>
          </w:p>
        </w:tc>
        <w:tc>
          <w:tcPr>
            <w:tcW w:w="1373" w:type="dxa"/>
            <w:gridSpan w:val="3"/>
          </w:tcPr>
          <w:p w14:paraId="2FF89D23">
            <w:pPr>
              <w:pStyle w:val="16"/>
              <w:tabs>
                <w:tab w:val="left" w:pos="603"/>
              </w:tabs>
              <w:spacing w:before="1" w:line="290" w:lineRule="exact"/>
              <w:ind w:firstLine="720" w:firstLineChars="300"/>
              <w:rPr>
                <w:sz w:val="24"/>
              </w:rPr>
            </w:pPr>
            <w:r>
              <w:rPr>
                <w:rFonts w:hint="eastAsia"/>
                <w:sz w:val="24"/>
              </w:rPr>
              <w:tab/>
            </w:r>
          </w:p>
          <w:p w14:paraId="6B6F2711">
            <w:pPr>
              <w:pStyle w:val="16"/>
              <w:tabs>
                <w:tab w:val="left" w:pos="603"/>
              </w:tabs>
              <w:spacing w:before="1" w:line="290" w:lineRule="exact"/>
              <w:ind w:firstLine="960" w:firstLineChars="400"/>
              <w:rPr>
                <w:sz w:val="24"/>
              </w:rPr>
            </w:pPr>
            <w:r>
              <w:rPr>
                <w:sz w:val="24"/>
              </w:rPr>
              <w:t>人</w:t>
            </w:r>
          </w:p>
        </w:tc>
        <w:tc>
          <w:tcPr>
            <w:tcW w:w="1701" w:type="dxa"/>
            <w:gridSpan w:val="2"/>
          </w:tcPr>
          <w:p w14:paraId="1A5297B5">
            <w:pPr>
              <w:pStyle w:val="16"/>
              <w:spacing w:before="158"/>
              <w:ind w:left="587"/>
              <w:rPr>
                <w:sz w:val="24"/>
              </w:rPr>
            </w:pPr>
            <w:r>
              <w:rPr>
                <w:sz w:val="24"/>
              </w:rPr>
              <w:t>行程选择</w:t>
            </w:r>
          </w:p>
        </w:tc>
        <w:tc>
          <w:tcPr>
            <w:tcW w:w="1788" w:type="dxa"/>
            <w:gridSpan w:val="2"/>
            <w:tcBorders>
              <w:right w:val="nil"/>
            </w:tcBorders>
          </w:tcPr>
          <w:p w14:paraId="00084C33">
            <w:pPr>
              <w:pStyle w:val="16"/>
              <w:numPr>
                <w:ilvl w:val="0"/>
                <w:numId w:val="6"/>
              </w:numPr>
              <w:tabs>
                <w:tab w:val="left" w:pos="349"/>
              </w:tabs>
              <w:spacing w:before="2"/>
              <w:ind w:hanging="242"/>
              <w:jc w:val="left"/>
              <w:rPr>
                <w:sz w:val="24"/>
              </w:rPr>
            </w:pPr>
            <w:r>
              <w:rPr>
                <w:sz w:val="24"/>
              </w:rPr>
              <w:t>展期随团 □</w:t>
            </w:r>
          </w:p>
          <w:p w14:paraId="6CBB70EA">
            <w:pPr>
              <w:pStyle w:val="16"/>
              <w:numPr>
                <w:ilvl w:val="0"/>
                <w:numId w:val="6"/>
              </w:numPr>
              <w:tabs>
                <w:tab w:val="left" w:pos="349"/>
              </w:tabs>
              <w:spacing w:before="5" w:line="290" w:lineRule="exact"/>
              <w:ind w:hanging="242"/>
              <w:jc w:val="left"/>
              <w:rPr>
                <w:sz w:val="24"/>
              </w:rPr>
            </w:pPr>
            <w:r>
              <w:rPr>
                <w:sz w:val="24"/>
              </w:rPr>
              <w:t>全程随团 □</w:t>
            </w:r>
          </w:p>
        </w:tc>
        <w:tc>
          <w:tcPr>
            <w:tcW w:w="1785" w:type="dxa"/>
            <w:tcBorders>
              <w:left w:val="nil"/>
            </w:tcBorders>
          </w:tcPr>
          <w:p w14:paraId="1EDB517F">
            <w:pPr>
              <w:pStyle w:val="16"/>
              <w:spacing w:before="2"/>
              <w:ind w:left="124"/>
              <w:rPr>
                <w:sz w:val="24"/>
              </w:rPr>
            </w:pPr>
            <w:r>
              <w:rPr>
                <w:sz w:val="24"/>
              </w:rPr>
              <w:t>人数：</w:t>
            </w:r>
          </w:p>
          <w:p w14:paraId="40388DB9">
            <w:pPr>
              <w:pStyle w:val="16"/>
              <w:spacing w:before="5" w:line="290" w:lineRule="exact"/>
              <w:ind w:left="124"/>
              <w:rPr>
                <w:sz w:val="24"/>
              </w:rPr>
            </w:pPr>
            <w:r>
              <w:rPr>
                <w:sz w:val="24"/>
              </w:rPr>
              <w:t>人数：</w:t>
            </w:r>
          </w:p>
        </w:tc>
      </w:tr>
      <w:tr w14:paraId="17BD49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2112" w:type="dxa"/>
            <w:gridSpan w:val="3"/>
            <w:vMerge w:val="restart"/>
          </w:tcPr>
          <w:p w14:paraId="1D3B981A">
            <w:pPr>
              <w:pStyle w:val="16"/>
              <w:spacing w:before="215"/>
              <w:ind w:left="107"/>
              <w:rPr>
                <w:sz w:val="24"/>
              </w:rPr>
            </w:pPr>
            <w:r>
              <w:rPr>
                <w:sz w:val="24"/>
              </w:rPr>
              <w:t>参展单位地址</w:t>
            </w:r>
          </w:p>
        </w:tc>
        <w:tc>
          <w:tcPr>
            <w:tcW w:w="1726" w:type="dxa"/>
            <w:vAlign w:val="center"/>
          </w:tcPr>
          <w:p w14:paraId="687FC12E">
            <w:pPr>
              <w:pStyle w:val="16"/>
              <w:spacing w:before="54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中文</w:t>
            </w:r>
          </w:p>
        </w:tc>
        <w:tc>
          <w:tcPr>
            <w:tcW w:w="6647" w:type="dxa"/>
            <w:gridSpan w:val="8"/>
          </w:tcPr>
          <w:p w14:paraId="0DC5192D">
            <w:pPr>
              <w:pStyle w:val="16"/>
              <w:rPr>
                <w:rFonts w:ascii="Times New Roman"/>
                <w:sz w:val="24"/>
              </w:rPr>
            </w:pPr>
          </w:p>
        </w:tc>
      </w:tr>
      <w:tr w14:paraId="707EDB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2112" w:type="dxa"/>
            <w:gridSpan w:val="3"/>
            <w:vMerge w:val="continue"/>
            <w:tcBorders>
              <w:top w:val="nil"/>
            </w:tcBorders>
          </w:tcPr>
          <w:p w14:paraId="1AADFC0E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1726" w:type="dxa"/>
            <w:vAlign w:val="center"/>
          </w:tcPr>
          <w:p w14:paraId="7528721F">
            <w:pPr>
              <w:pStyle w:val="16"/>
              <w:spacing w:before="3" w:line="289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英文</w:t>
            </w:r>
          </w:p>
        </w:tc>
        <w:tc>
          <w:tcPr>
            <w:tcW w:w="6647" w:type="dxa"/>
            <w:gridSpan w:val="8"/>
          </w:tcPr>
          <w:p w14:paraId="50A7DB64">
            <w:pPr>
              <w:pStyle w:val="16"/>
              <w:rPr>
                <w:rFonts w:ascii="Times New Roman"/>
                <w:sz w:val="22"/>
              </w:rPr>
            </w:pPr>
          </w:p>
        </w:tc>
      </w:tr>
      <w:tr w14:paraId="59415E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2112" w:type="dxa"/>
            <w:gridSpan w:val="3"/>
            <w:vMerge w:val="restart"/>
          </w:tcPr>
          <w:p w14:paraId="77ED20AC">
            <w:pPr>
              <w:pStyle w:val="16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产品内容（大类）</w:t>
            </w:r>
          </w:p>
        </w:tc>
        <w:tc>
          <w:tcPr>
            <w:tcW w:w="1726" w:type="dxa"/>
            <w:vAlign w:val="center"/>
          </w:tcPr>
          <w:p w14:paraId="21C947EC">
            <w:pPr>
              <w:pStyle w:val="16"/>
              <w:spacing w:before="2" w:line="290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中文</w:t>
            </w:r>
          </w:p>
        </w:tc>
        <w:tc>
          <w:tcPr>
            <w:tcW w:w="6647" w:type="dxa"/>
            <w:gridSpan w:val="8"/>
          </w:tcPr>
          <w:p w14:paraId="1BC2B305">
            <w:pPr>
              <w:pStyle w:val="16"/>
              <w:rPr>
                <w:rFonts w:ascii="Times New Roman"/>
                <w:sz w:val="22"/>
              </w:rPr>
            </w:pPr>
          </w:p>
        </w:tc>
      </w:tr>
      <w:tr w14:paraId="4BB45B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112" w:type="dxa"/>
            <w:gridSpan w:val="3"/>
            <w:vMerge w:val="continue"/>
            <w:tcBorders>
              <w:top w:val="nil"/>
            </w:tcBorders>
          </w:tcPr>
          <w:p w14:paraId="7F0E5707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1726" w:type="dxa"/>
            <w:vAlign w:val="center"/>
          </w:tcPr>
          <w:p w14:paraId="7834CE90">
            <w:pPr>
              <w:pStyle w:val="16"/>
              <w:spacing w:before="2" w:line="290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英文</w:t>
            </w:r>
          </w:p>
        </w:tc>
        <w:tc>
          <w:tcPr>
            <w:tcW w:w="6647" w:type="dxa"/>
            <w:gridSpan w:val="8"/>
          </w:tcPr>
          <w:p w14:paraId="3F09AFD9">
            <w:pPr>
              <w:pStyle w:val="16"/>
              <w:rPr>
                <w:rFonts w:ascii="Times New Roman"/>
                <w:sz w:val="22"/>
              </w:rPr>
            </w:pPr>
          </w:p>
        </w:tc>
      </w:tr>
      <w:tr w14:paraId="669C0F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2112" w:type="dxa"/>
            <w:gridSpan w:val="3"/>
            <w:vMerge w:val="restart"/>
          </w:tcPr>
          <w:p w14:paraId="53284C73">
            <w:pPr>
              <w:pStyle w:val="16"/>
              <w:spacing w:before="164"/>
              <w:ind w:left="107" w:right="-29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展品内容 </w:t>
            </w:r>
            <w:r>
              <w:rPr>
                <w:sz w:val="24"/>
              </w:rPr>
              <w:t>（具体</w:t>
            </w:r>
            <w:r>
              <w:rPr>
                <w:spacing w:val="-12"/>
                <w:sz w:val="24"/>
              </w:rPr>
              <w:t>）</w:t>
            </w:r>
          </w:p>
        </w:tc>
        <w:tc>
          <w:tcPr>
            <w:tcW w:w="1726" w:type="dxa"/>
            <w:vAlign w:val="center"/>
          </w:tcPr>
          <w:p w14:paraId="7F7DFE76">
            <w:pPr>
              <w:pStyle w:val="16"/>
              <w:spacing w:before="4" w:line="291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中文</w:t>
            </w:r>
          </w:p>
        </w:tc>
        <w:tc>
          <w:tcPr>
            <w:tcW w:w="6647" w:type="dxa"/>
            <w:gridSpan w:val="8"/>
          </w:tcPr>
          <w:p w14:paraId="30C56084">
            <w:pPr>
              <w:pStyle w:val="16"/>
              <w:rPr>
                <w:rFonts w:ascii="Times New Roman"/>
                <w:sz w:val="22"/>
              </w:rPr>
            </w:pPr>
          </w:p>
        </w:tc>
      </w:tr>
      <w:tr w14:paraId="78CD56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112" w:type="dxa"/>
            <w:gridSpan w:val="3"/>
            <w:vMerge w:val="continue"/>
            <w:tcBorders>
              <w:top w:val="nil"/>
            </w:tcBorders>
          </w:tcPr>
          <w:p w14:paraId="3639EFB1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1726" w:type="dxa"/>
            <w:vAlign w:val="center"/>
          </w:tcPr>
          <w:p w14:paraId="5EDE2CCA">
            <w:pPr>
              <w:pStyle w:val="16"/>
              <w:spacing w:before="3" w:line="289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英文</w:t>
            </w:r>
          </w:p>
        </w:tc>
        <w:tc>
          <w:tcPr>
            <w:tcW w:w="6647" w:type="dxa"/>
            <w:gridSpan w:val="8"/>
          </w:tcPr>
          <w:p w14:paraId="4B38D5C7">
            <w:pPr>
              <w:pStyle w:val="16"/>
              <w:rPr>
                <w:rFonts w:ascii="Times New Roman"/>
                <w:sz w:val="22"/>
              </w:rPr>
            </w:pPr>
          </w:p>
        </w:tc>
      </w:tr>
      <w:tr w14:paraId="08F0CD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3838" w:type="dxa"/>
            <w:gridSpan w:val="4"/>
            <w:vAlign w:val="center"/>
          </w:tcPr>
          <w:p w14:paraId="364AFA84">
            <w:pPr>
              <w:pStyle w:val="16"/>
              <w:spacing w:before="2" w:line="289" w:lineRule="exact"/>
              <w:ind w:left="1065"/>
              <w:rPr>
                <w:sz w:val="24"/>
              </w:rPr>
            </w:pPr>
            <w:r>
              <w:rPr>
                <w:sz w:val="24"/>
              </w:rPr>
              <w:t>是否参加货运</w:t>
            </w:r>
          </w:p>
        </w:tc>
        <w:tc>
          <w:tcPr>
            <w:tcW w:w="844" w:type="dxa"/>
            <w:tcBorders>
              <w:right w:val="nil"/>
            </w:tcBorders>
          </w:tcPr>
          <w:p w14:paraId="3FBE8165">
            <w:pPr>
              <w:pStyle w:val="16"/>
              <w:spacing w:before="2" w:line="289" w:lineRule="exact"/>
              <w:ind w:left="108"/>
              <w:rPr>
                <w:sz w:val="24"/>
              </w:rPr>
            </w:pPr>
            <w:r>
              <w:rPr>
                <w:sz w:val="24"/>
              </w:rPr>
              <w:t>是 □</w:t>
            </w:r>
          </w:p>
        </w:tc>
        <w:tc>
          <w:tcPr>
            <w:tcW w:w="1951" w:type="dxa"/>
            <w:gridSpan w:val="3"/>
            <w:tcBorders>
              <w:left w:val="nil"/>
              <w:right w:val="nil"/>
            </w:tcBorders>
          </w:tcPr>
          <w:p w14:paraId="57D84647">
            <w:pPr>
              <w:pStyle w:val="16"/>
              <w:rPr>
                <w:rFonts w:ascii="Times New Roman"/>
                <w:sz w:val="22"/>
              </w:rPr>
            </w:pPr>
          </w:p>
        </w:tc>
        <w:tc>
          <w:tcPr>
            <w:tcW w:w="2067" w:type="dxa"/>
            <w:gridSpan w:val="3"/>
            <w:tcBorders>
              <w:left w:val="nil"/>
              <w:right w:val="nil"/>
            </w:tcBorders>
          </w:tcPr>
          <w:p w14:paraId="48469BAD">
            <w:pPr>
              <w:pStyle w:val="16"/>
              <w:spacing w:before="2" w:line="289" w:lineRule="exact"/>
              <w:ind w:left="173"/>
              <w:rPr>
                <w:sz w:val="24"/>
              </w:rPr>
            </w:pPr>
            <w:r>
              <w:rPr>
                <w:sz w:val="24"/>
              </w:rPr>
              <w:t>否 □</w:t>
            </w:r>
          </w:p>
        </w:tc>
        <w:tc>
          <w:tcPr>
            <w:tcW w:w="1785" w:type="dxa"/>
            <w:tcBorders>
              <w:left w:val="nil"/>
            </w:tcBorders>
          </w:tcPr>
          <w:p w14:paraId="0C385B89">
            <w:pPr>
              <w:pStyle w:val="16"/>
              <w:rPr>
                <w:rFonts w:ascii="Times New Roman"/>
                <w:sz w:val="22"/>
              </w:rPr>
            </w:pPr>
          </w:p>
        </w:tc>
      </w:tr>
      <w:tr w14:paraId="5D8778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936" w:type="dxa"/>
            <w:gridSpan w:val="2"/>
            <w:vAlign w:val="center"/>
          </w:tcPr>
          <w:p w14:paraId="04524478">
            <w:pPr>
              <w:pStyle w:val="16"/>
              <w:spacing w:before="4" w:line="290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联系人</w:t>
            </w:r>
          </w:p>
        </w:tc>
        <w:tc>
          <w:tcPr>
            <w:tcW w:w="1176" w:type="dxa"/>
            <w:vAlign w:val="center"/>
          </w:tcPr>
          <w:p w14:paraId="477A9B7A">
            <w:pPr>
              <w:pStyle w:val="16"/>
              <w:jc w:val="center"/>
              <w:rPr>
                <w:rFonts w:ascii="Times New Roman"/>
                <w:sz w:val="22"/>
              </w:rPr>
            </w:pPr>
          </w:p>
        </w:tc>
        <w:tc>
          <w:tcPr>
            <w:tcW w:w="1726" w:type="dxa"/>
            <w:vAlign w:val="center"/>
          </w:tcPr>
          <w:p w14:paraId="0D4484B0">
            <w:pPr>
              <w:pStyle w:val="16"/>
              <w:spacing w:before="4" w:line="290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电话</w:t>
            </w:r>
          </w:p>
        </w:tc>
        <w:tc>
          <w:tcPr>
            <w:tcW w:w="6647" w:type="dxa"/>
            <w:gridSpan w:val="8"/>
          </w:tcPr>
          <w:p w14:paraId="6C531795">
            <w:pPr>
              <w:pStyle w:val="16"/>
              <w:rPr>
                <w:rFonts w:ascii="Times New Roman"/>
                <w:sz w:val="22"/>
              </w:rPr>
            </w:pPr>
          </w:p>
        </w:tc>
      </w:tr>
      <w:tr w14:paraId="3EDA6C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468" w:type="dxa"/>
            <w:tcBorders>
              <w:right w:val="nil"/>
            </w:tcBorders>
            <w:vAlign w:val="center"/>
          </w:tcPr>
          <w:p w14:paraId="58DDA9CC">
            <w:pPr>
              <w:pStyle w:val="16"/>
              <w:spacing w:before="3" w:line="291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邮</w:t>
            </w:r>
          </w:p>
        </w:tc>
        <w:tc>
          <w:tcPr>
            <w:tcW w:w="468" w:type="dxa"/>
            <w:tcBorders>
              <w:left w:val="nil"/>
            </w:tcBorders>
            <w:vAlign w:val="center"/>
          </w:tcPr>
          <w:p w14:paraId="7F9C8334">
            <w:pPr>
              <w:pStyle w:val="16"/>
              <w:spacing w:before="3" w:line="291" w:lineRule="exact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编</w:t>
            </w:r>
          </w:p>
        </w:tc>
        <w:tc>
          <w:tcPr>
            <w:tcW w:w="1176" w:type="dxa"/>
            <w:vAlign w:val="center"/>
          </w:tcPr>
          <w:p w14:paraId="41E97454">
            <w:pPr>
              <w:pStyle w:val="16"/>
              <w:jc w:val="center"/>
              <w:rPr>
                <w:rFonts w:ascii="Times New Roman"/>
                <w:sz w:val="22"/>
              </w:rPr>
            </w:pPr>
          </w:p>
        </w:tc>
        <w:tc>
          <w:tcPr>
            <w:tcW w:w="1726" w:type="dxa"/>
            <w:vAlign w:val="center"/>
          </w:tcPr>
          <w:p w14:paraId="67918173">
            <w:pPr>
              <w:pStyle w:val="16"/>
              <w:spacing w:before="3" w:line="291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手机号码</w:t>
            </w:r>
          </w:p>
        </w:tc>
        <w:tc>
          <w:tcPr>
            <w:tcW w:w="6647" w:type="dxa"/>
            <w:gridSpan w:val="8"/>
          </w:tcPr>
          <w:p w14:paraId="6A8EFAF0">
            <w:pPr>
              <w:pStyle w:val="16"/>
              <w:rPr>
                <w:rFonts w:ascii="Times New Roman"/>
                <w:sz w:val="22"/>
              </w:rPr>
            </w:pPr>
          </w:p>
        </w:tc>
      </w:tr>
      <w:tr w14:paraId="291375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936" w:type="dxa"/>
            <w:gridSpan w:val="2"/>
            <w:vAlign w:val="center"/>
          </w:tcPr>
          <w:p w14:paraId="3EE38DFC">
            <w:pPr>
              <w:pStyle w:val="16"/>
              <w:spacing w:before="2"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E-mail</w:t>
            </w:r>
          </w:p>
        </w:tc>
        <w:tc>
          <w:tcPr>
            <w:tcW w:w="9549" w:type="dxa"/>
            <w:gridSpan w:val="10"/>
          </w:tcPr>
          <w:p w14:paraId="1BB1900E">
            <w:pPr>
              <w:pStyle w:val="16"/>
              <w:rPr>
                <w:rFonts w:ascii="Times New Roman"/>
                <w:sz w:val="22"/>
              </w:rPr>
            </w:pPr>
          </w:p>
        </w:tc>
      </w:tr>
      <w:tr w14:paraId="2972A4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936" w:type="dxa"/>
            <w:gridSpan w:val="2"/>
            <w:vAlign w:val="center"/>
          </w:tcPr>
          <w:p w14:paraId="0E707098">
            <w:pPr>
              <w:pStyle w:val="16"/>
              <w:spacing w:before="2"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主页</w:t>
            </w:r>
          </w:p>
        </w:tc>
        <w:tc>
          <w:tcPr>
            <w:tcW w:w="9549" w:type="dxa"/>
            <w:gridSpan w:val="10"/>
          </w:tcPr>
          <w:p w14:paraId="757FBA42">
            <w:pPr>
              <w:pStyle w:val="16"/>
              <w:rPr>
                <w:rFonts w:ascii="Times New Roman"/>
                <w:sz w:val="22"/>
              </w:rPr>
            </w:pPr>
          </w:p>
        </w:tc>
      </w:tr>
      <w:tr w14:paraId="45AC73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1" w:hRule="atLeast"/>
        </w:trPr>
        <w:tc>
          <w:tcPr>
            <w:tcW w:w="10485" w:type="dxa"/>
            <w:gridSpan w:val="12"/>
            <w:vAlign w:val="center"/>
          </w:tcPr>
          <w:p w14:paraId="4994250D">
            <w:pPr>
              <w:pStyle w:val="16"/>
              <w:tabs>
                <w:tab w:val="left" w:pos="349"/>
              </w:tabs>
              <w:spacing w:line="260" w:lineRule="exact"/>
              <w:rPr>
                <w:sz w:val="24"/>
              </w:rPr>
            </w:pPr>
            <w:r>
              <w:rPr>
                <w:rFonts w:hint="eastAsia"/>
                <w:sz w:val="24"/>
                <w:lang w:val="en-US"/>
              </w:rPr>
              <w:t>1、</w:t>
            </w:r>
            <w:r>
              <w:rPr>
                <w:sz w:val="24"/>
              </w:rPr>
              <w:t>本申请表（合同书）一式三份, 经双方盖章确认后即</w:t>
            </w:r>
            <w:r>
              <w:rPr>
                <w:rFonts w:hint="eastAsia"/>
                <w:sz w:val="24"/>
                <w:lang w:val="en-US"/>
              </w:rPr>
              <w:t>生效</w:t>
            </w:r>
            <w:r>
              <w:rPr>
                <w:sz w:val="24"/>
              </w:rPr>
              <w:t>。</w:t>
            </w:r>
          </w:p>
          <w:p w14:paraId="264A0AE9">
            <w:pPr>
              <w:pStyle w:val="16"/>
              <w:tabs>
                <w:tab w:val="left" w:pos="349"/>
              </w:tabs>
              <w:spacing w:before="14" w:line="201" w:lineRule="auto"/>
              <w:ind w:right="97"/>
              <w:rPr>
                <w:sz w:val="24"/>
              </w:rPr>
            </w:pPr>
            <w:r>
              <w:rPr>
                <w:rFonts w:hint="eastAsia"/>
                <w:spacing w:val="-9"/>
                <w:sz w:val="24"/>
                <w:lang w:val="en-US"/>
              </w:rPr>
              <w:t>2、</w:t>
            </w:r>
            <w:r>
              <w:rPr>
                <w:spacing w:val="-9"/>
                <w:sz w:val="24"/>
              </w:rPr>
              <w:t xml:space="preserve">本申请表一经确认，请于 </w:t>
            </w:r>
            <w:r>
              <w:rPr>
                <w:sz w:val="24"/>
              </w:rPr>
              <w:t>3</w:t>
            </w:r>
            <w:r>
              <w:rPr>
                <w:spacing w:val="-10"/>
                <w:sz w:val="24"/>
              </w:rPr>
              <w:t xml:space="preserve"> 天内将展位费一次性汇入组展单位指定的银行账户，逾期组展单位</w:t>
            </w:r>
            <w:r>
              <w:rPr>
                <w:sz w:val="24"/>
              </w:rPr>
              <w:t>有权不予以保留预订展位。</w:t>
            </w:r>
          </w:p>
          <w:p w14:paraId="70AF69EB">
            <w:pPr>
              <w:pStyle w:val="16"/>
              <w:tabs>
                <w:tab w:val="left" w:pos="349"/>
              </w:tabs>
              <w:spacing w:before="4" w:line="201" w:lineRule="auto"/>
              <w:ind w:right="97"/>
              <w:rPr>
                <w:sz w:val="24"/>
              </w:rPr>
            </w:pPr>
            <w:r>
              <w:rPr>
                <w:rFonts w:hint="eastAsia"/>
                <w:spacing w:val="-4"/>
                <w:sz w:val="24"/>
                <w:lang w:val="en-US"/>
              </w:rPr>
              <w:t>3、</w:t>
            </w:r>
            <w:r>
              <w:rPr>
                <w:spacing w:val="-4"/>
                <w:sz w:val="24"/>
              </w:rPr>
              <w:t>参展单位</w:t>
            </w:r>
            <w:r>
              <w:rPr>
                <w:rFonts w:hint="eastAsia"/>
                <w:spacing w:val="-4"/>
                <w:sz w:val="24"/>
                <w:lang w:val="en-US"/>
              </w:rPr>
              <w:t>申请确认并</w:t>
            </w:r>
            <w:r>
              <w:rPr>
                <w:spacing w:val="-4"/>
                <w:sz w:val="24"/>
              </w:rPr>
              <w:t>盖章</w:t>
            </w:r>
            <w:r>
              <w:rPr>
                <w:rFonts w:hint="eastAsia"/>
                <w:spacing w:val="-4"/>
                <w:sz w:val="24"/>
                <w:lang w:val="en-US"/>
              </w:rPr>
              <w:t>后</w:t>
            </w:r>
            <w:r>
              <w:rPr>
                <w:spacing w:val="-4"/>
                <w:sz w:val="24"/>
              </w:rPr>
              <w:t>不得退展，否则参展单位</w:t>
            </w:r>
            <w:r>
              <w:rPr>
                <w:rFonts w:hint="eastAsia"/>
                <w:spacing w:val="-4"/>
                <w:sz w:val="24"/>
                <w:lang w:val="en-US"/>
              </w:rPr>
              <w:t>将</w:t>
            </w:r>
            <w:r>
              <w:rPr>
                <w:spacing w:val="-4"/>
                <w:sz w:val="24"/>
              </w:rPr>
              <w:t>承担因此给组展单位造成的一</w:t>
            </w:r>
            <w:r>
              <w:rPr>
                <w:sz w:val="24"/>
              </w:rPr>
              <w:t>切损失。</w:t>
            </w:r>
          </w:p>
          <w:p w14:paraId="13C95B56">
            <w:pPr>
              <w:pStyle w:val="16"/>
              <w:tabs>
                <w:tab w:val="left" w:pos="349"/>
              </w:tabs>
              <w:spacing w:line="204" w:lineRule="auto"/>
              <w:ind w:right="97"/>
              <w:rPr>
                <w:sz w:val="24"/>
              </w:rPr>
            </w:pPr>
            <w:r>
              <w:rPr>
                <w:rFonts w:hint="eastAsia"/>
                <w:spacing w:val="-6"/>
                <w:sz w:val="24"/>
                <w:lang w:val="en-US"/>
              </w:rPr>
              <w:t>4、</w:t>
            </w:r>
            <w:r>
              <w:rPr>
                <w:spacing w:val="-6"/>
                <w:sz w:val="24"/>
              </w:rPr>
              <w:t>若主办方因故取消办展，只退回报名企业所交的参展费用，参展单位不得要求组展单位承担其</w:t>
            </w:r>
            <w:r>
              <w:rPr>
                <w:sz w:val="24"/>
              </w:rPr>
              <w:t>他任何赔偿责任。</w:t>
            </w:r>
          </w:p>
          <w:p w14:paraId="06F3A506">
            <w:pPr>
              <w:pStyle w:val="16"/>
              <w:tabs>
                <w:tab w:val="left" w:pos="349"/>
              </w:tabs>
              <w:spacing w:line="245" w:lineRule="exact"/>
              <w:rPr>
                <w:sz w:val="24"/>
              </w:rPr>
            </w:pPr>
            <w:r>
              <w:rPr>
                <w:rFonts w:hint="eastAsia"/>
                <w:sz w:val="24"/>
                <w:lang w:val="en-US"/>
              </w:rPr>
              <w:t>5、</w:t>
            </w:r>
            <w:r>
              <w:rPr>
                <w:sz w:val="24"/>
              </w:rPr>
              <w:t>组展单位收到全额展位费后，将为参展单位开具参展发票。</w:t>
            </w:r>
          </w:p>
          <w:p w14:paraId="7E571FAA">
            <w:pPr>
              <w:pStyle w:val="16"/>
              <w:tabs>
                <w:tab w:val="left" w:pos="353"/>
              </w:tabs>
              <w:spacing w:before="11" w:line="204" w:lineRule="auto"/>
              <w:ind w:right="68"/>
              <w:rPr>
                <w:sz w:val="24"/>
              </w:rPr>
            </w:pPr>
            <w:r>
              <w:rPr>
                <w:rFonts w:hint="eastAsia"/>
                <w:spacing w:val="3"/>
                <w:sz w:val="24"/>
                <w:lang w:val="en-US"/>
              </w:rPr>
              <w:t>6、</w:t>
            </w:r>
            <w:r>
              <w:rPr>
                <w:spacing w:val="3"/>
                <w:sz w:val="24"/>
              </w:rPr>
              <w:t>实际出运展品或实际展品价值须由参展单位如实申报，申报不符造成的损失由参展单位负担。</w:t>
            </w:r>
          </w:p>
          <w:p w14:paraId="0F4F06BC">
            <w:pPr>
              <w:pStyle w:val="16"/>
              <w:tabs>
                <w:tab w:val="left" w:pos="349"/>
              </w:tabs>
              <w:spacing w:before="1" w:line="201" w:lineRule="auto"/>
              <w:ind w:right="68"/>
              <w:rPr>
                <w:sz w:val="24"/>
              </w:rPr>
            </w:pPr>
            <w:r>
              <w:rPr>
                <w:rFonts w:hint="eastAsia"/>
                <w:spacing w:val="-6"/>
                <w:sz w:val="24"/>
                <w:lang w:val="en-US"/>
              </w:rPr>
              <w:t>7、</w:t>
            </w:r>
            <w:r>
              <w:rPr>
                <w:spacing w:val="-6"/>
                <w:sz w:val="24"/>
              </w:rPr>
              <w:t>如遇战争、罢工、自然灾害等不可抗力，给参展单位及组展单位带来的损失由双方另行协商解</w:t>
            </w:r>
            <w:r>
              <w:rPr>
                <w:sz w:val="24"/>
              </w:rPr>
              <w:t>决。</w:t>
            </w:r>
          </w:p>
          <w:p w14:paraId="57DE054D">
            <w:pPr>
              <w:pStyle w:val="16"/>
              <w:tabs>
                <w:tab w:val="left" w:pos="320"/>
              </w:tabs>
              <w:spacing w:line="249" w:lineRule="exact"/>
              <w:rPr>
                <w:sz w:val="24"/>
              </w:rPr>
            </w:pPr>
            <w:r>
              <w:rPr>
                <w:rFonts w:hint="eastAsia"/>
                <w:sz w:val="24"/>
                <w:lang w:val="en-US"/>
              </w:rPr>
              <w:t>8、</w:t>
            </w:r>
            <w:r>
              <w:rPr>
                <w:sz w:val="24"/>
              </w:rPr>
              <w:t>组展单位指定的银行账户</w:t>
            </w:r>
          </w:p>
          <w:p w14:paraId="64794598">
            <w:pPr>
              <w:pStyle w:val="16"/>
              <w:tabs>
                <w:tab w:val="left" w:pos="587"/>
              </w:tabs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名：广东潮域展览有限公司</w:t>
            </w:r>
          </w:p>
          <w:p w14:paraId="0A611067">
            <w:pPr>
              <w:pStyle w:val="16"/>
              <w:tabs>
                <w:tab w:val="left" w:pos="587"/>
                <w:tab w:val="left" w:pos="1787"/>
                <w:tab w:val="left" w:pos="2507"/>
              </w:tabs>
              <w:spacing w:before="12" w:line="204" w:lineRule="auto"/>
              <w:ind w:left="107" w:right="5795"/>
              <w:rPr>
                <w:spacing w:val="-17"/>
                <w:sz w:val="24"/>
              </w:rPr>
            </w:pPr>
            <w:r>
              <w:rPr>
                <w:sz w:val="24"/>
              </w:rPr>
              <w:t>开户行：中国银行广州广东经贸大厦支</w:t>
            </w:r>
            <w:r>
              <w:rPr>
                <w:spacing w:val="-17"/>
                <w:sz w:val="24"/>
              </w:rPr>
              <w:t>行</w:t>
            </w:r>
          </w:p>
          <w:p w14:paraId="7BB6AAC6">
            <w:pPr>
              <w:pStyle w:val="16"/>
              <w:tabs>
                <w:tab w:val="left" w:pos="587"/>
                <w:tab w:val="left" w:pos="1787"/>
                <w:tab w:val="left" w:pos="2507"/>
              </w:tabs>
              <w:spacing w:before="12" w:line="204" w:lineRule="auto"/>
              <w:ind w:left="107" w:right="5795"/>
              <w:rPr>
                <w:sz w:val="24"/>
              </w:rPr>
            </w:pPr>
            <w:r>
              <w:rPr>
                <w:sz w:val="24"/>
              </w:rPr>
              <w:t>账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号：7354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6974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1658</w:t>
            </w:r>
          </w:p>
          <w:p w14:paraId="4AC53799">
            <w:pPr>
              <w:pStyle w:val="16"/>
              <w:spacing w:line="201" w:lineRule="auto"/>
              <w:ind w:left="107" w:right="270"/>
              <w:rPr>
                <w:sz w:val="24"/>
              </w:rPr>
            </w:pPr>
            <w:r>
              <w:rPr>
                <w:spacing w:val="-2"/>
                <w:sz w:val="24"/>
              </w:rPr>
              <w:t>本《参展申请表》作为组展单位与参展单位之间达成的合同，另附件《参展协议》为《参展申</w:t>
            </w:r>
            <w:r>
              <w:rPr>
                <w:spacing w:val="-1"/>
                <w:sz w:val="24"/>
              </w:rPr>
              <w:t>请表》不可分割的组成部分</w:t>
            </w:r>
            <w:r>
              <w:rPr>
                <w:sz w:val="24"/>
              </w:rPr>
              <w:t>（确立参展意向后另行发送</w:t>
            </w:r>
            <w:r>
              <w:rPr>
                <w:spacing w:val="-120"/>
                <w:sz w:val="24"/>
              </w:rPr>
              <w:t>）</w:t>
            </w:r>
            <w:r>
              <w:rPr>
                <w:spacing w:val="-1"/>
                <w:sz w:val="24"/>
              </w:rPr>
              <w:t>。 参展单位确认已收到且知悉，双方</w:t>
            </w:r>
          </w:p>
          <w:p w14:paraId="3C461C39">
            <w:pPr>
              <w:pStyle w:val="16"/>
              <w:spacing w:line="236" w:lineRule="exact"/>
              <w:ind w:left="107"/>
              <w:rPr>
                <w:sz w:val="24"/>
              </w:rPr>
            </w:pPr>
            <w:r>
              <w:rPr>
                <w:sz w:val="24"/>
              </w:rPr>
              <w:t>均严格遵守《参展申请表》《参展协议》全部内容。</w:t>
            </w:r>
          </w:p>
        </w:tc>
      </w:tr>
      <w:tr w14:paraId="107522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7" w:hRule="atLeast"/>
        </w:trPr>
        <w:tc>
          <w:tcPr>
            <w:tcW w:w="5070" w:type="dxa"/>
            <w:gridSpan w:val="6"/>
          </w:tcPr>
          <w:p w14:paraId="70618EE5">
            <w:pPr>
              <w:pStyle w:val="16"/>
              <w:rPr>
                <w:b/>
                <w:sz w:val="24"/>
              </w:rPr>
            </w:pPr>
          </w:p>
          <w:p w14:paraId="3479D714">
            <w:pPr>
              <w:pStyle w:val="16"/>
              <w:spacing w:before="8"/>
              <w:rPr>
                <w:b/>
                <w:sz w:val="18"/>
              </w:rPr>
            </w:pPr>
          </w:p>
          <w:p w14:paraId="2EE03525">
            <w:pPr>
              <w:pStyle w:val="16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组展单位盖章：</w:t>
            </w:r>
          </w:p>
        </w:tc>
        <w:tc>
          <w:tcPr>
            <w:tcW w:w="5415" w:type="dxa"/>
            <w:gridSpan w:val="6"/>
          </w:tcPr>
          <w:p w14:paraId="1F50686F">
            <w:pPr>
              <w:pStyle w:val="16"/>
              <w:rPr>
                <w:b/>
                <w:sz w:val="24"/>
              </w:rPr>
            </w:pPr>
          </w:p>
          <w:p w14:paraId="08E7F2BC">
            <w:pPr>
              <w:pStyle w:val="16"/>
              <w:spacing w:before="8"/>
              <w:rPr>
                <w:b/>
                <w:sz w:val="18"/>
              </w:rPr>
            </w:pPr>
          </w:p>
          <w:p w14:paraId="57C92345">
            <w:pPr>
              <w:pStyle w:val="16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参展单位盖章：</w:t>
            </w:r>
          </w:p>
        </w:tc>
      </w:tr>
    </w:tbl>
    <w:p w14:paraId="1BA6064C">
      <w:pPr>
        <w:adjustRightInd w:val="0"/>
        <w:snapToGrid w:val="0"/>
        <w:spacing w:line="0" w:lineRule="atLeast"/>
        <w:ind w:firstLine="141" w:firstLineChars="47"/>
        <w:jc w:val="center"/>
        <w:rPr>
          <w:rFonts w:hint="eastAsia" w:ascii="微软雅黑" w:hAnsi="微软雅黑" w:eastAsia="微软雅黑"/>
          <w:b/>
          <w:sz w:val="30"/>
          <w:szCs w:val="30"/>
        </w:rPr>
      </w:pPr>
      <w:r>
        <w:rPr>
          <w:rFonts w:hint="eastAsia" w:ascii="微软雅黑" w:hAnsi="微软雅黑" w:eastAsia="微软雅黑"/>
          <w:b/>
          <w:sz w:val="30"/>
          <w:szCs w:val="30"/>
        </w:rPr>
        <w:t>（合同书）</w:t>
      </w:r>
    </w:p>
    <w:sectPr>
      <w:headerReference r:id="rId3" w:type="default"/>
      <w:pgSz w:w="11906" w:h="16838"/>
      <w:pgMar w:top="1694" w:right="1133" w:bottom="1134" w:left="7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1B2DCC">
    <w:pPr>
      <w:pStyle w:val="4"/>
      <w:pBdr>
        <w:bottom w:val="none" w:color="auto" w:sz="0" w:space="1"/>
      </w:pBdr>
      <w:rPr>
        <w:rFonts w:hint="eastAsia"/>
      </w:rPr>
    </w:pPr>
    <w:r>
      <w:rPr>
        <w:rFonts w:hint="eastAsi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5137150</wp:posOffset>
          </wp:positionH>
          <wp:positionV relativeFrom="paragraph">
            <wp:posOffset>-370840</wp:posOffset>
          </wp:positionV>
          <wp:extent cx="1334135" cy="803275"/>
          <wp:effectExtent l="0" t="0" r="0" b="0"/>
          <wp:wrapNone/>
          <wp:docPr id="500081447" name="图片 500081447" descr="越南玩具展LOGO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081447" name="图片 500081447" descr="越南玩具展LOGO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4135" cy="803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-25400</wp:posOffset>
          </wp:positionH>
          <wp:positionV relativeFrom="paragraph">
            <wp:posOffset>-335915</wp:posOffset>
          </wp:positionV>
          <wp:extent cx="2778125" cy="697230"/>
          <wp:effectExtent l="0" t="0" r="0" b="6985"/>
          <wp:wrapNone/>
          <wp:docPr id="647252006" name="图片 647252006" descr="潮域logo - UFI - 转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7252006" name="图片 647252006" descr="潮域logo - UFI - 转曲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78125" cy="697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348" w:hanging="241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484" w:hanging="24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628" w:hanging="24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772" w:hanging="24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917" w:hanging="24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1061" w:hanging="24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1205" w:hanging="24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350" w:hanging="24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494" w:hanging="241"/>
      </w:pPr>
      <w:rPr>
        <w:rFonts w:hint="default"/>
        <w:lang w:val="zh-CN" w:eastAsia="zh-CN" w:bidi="zh-CN"/>
      </w:rPr>
    </w:lvl>
  </w:abstractNum>
  <w:abstractNum w:abstractNumId="1">
    <w:nsid w:val="01820309"/>
    <w:multiLevelType w:val="multilevel"/>
    <w:tmpl w:val="01820309"/>
    <w:lvl w:ilvl="0" w:tentative="0">
      <w:start w:val="1"/>
      <w:numFmt w:val="bullet"/>
      <w:lvlText w:val=""/>
      <w:lvlJc w:val="left"/>
      <w:pPr>
        <w:ind w:left="1413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833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253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673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093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513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933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53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773" w:hanging="420"/>
      </w:pPr>
      <w:rPr>
        <w:rFonts w:hint="default" w:ascii="Wingdings" w:hAnsi="Wingdings"/>
      </w:rPr>
    </w:lvl>
  </w:abstractNum>
  <w:abstractNum w:abstractNumId="2">
    <w:nsid w:val="3DA344D2"/>
    <w:multiLevelType w:val="multilevel"/>
    <w:tmpl w:val="3DA344D2"/>
    <w:lvl w:ilvl="0" w:tentative="0">
      <w:start w:val="3"/>
      <w:numFmt w:val="japaneseCounting"/>
      <w:lvlText w:val="%1、"/>
      <w:lvlJc w:val="left"/>
      <w:pPr>
        <w:ind w:left="720" w:hanging="72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F0761BC"/>
    <w:multiLevelType w:val="multilevel"/>
    <w:tmpl w:val="5F0761BC"/>
    <w:lvl w:ilvl="0" w:tentative="0">
      <w:start w:val="1"/>
      <w:numFmt w:val="bullet"/>
      <w:lvlText w:val=""/>
      <w:lvlJc w:val="left"/>
      <w:pPr>
        <w:ind w:left="11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5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2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6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0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500" w:hanging="420"/>
      </w:pPr>
      <w:rPr>
        <w:rFonts w:hint="default" w:ascii="Wingdings" w:hAnsi="Wingdings"/>
      </w:rPr>
    </w:lvl>
  </w:abstractNum>
  <w:abstractNum w:abstractNumId="4">
    <w:nsid w:val="7832568B"/>
    <w:multiLevelType w:val="multilevel"/>
    <w:tmpl w:val="7832568B"/>
    <w:lvl w:ilvl="0" w:tentative="0">
      <w:start w:val="1"/>
      <w:numFmt w:val="bullet"/>
      <w:lvlText w:val=""/>
      <w:lvlJc w:val="left"/>
      <w:pPr>
        <w:ind w:left="11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5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2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6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0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500" w:hanging="420"/>
      </w:pPr>
      <w:rPr>
        <w:rFonts w:hint="default" w:ascii="Wingdings" w:hAnsi="Wingdings"/>
      </w:rPr>
    </w:lvl>
  </w:abstractNum>
  <w:abstractNum w:abstractNumId="5">
    <w:nsid w:val="785A58FE"/>
    <w:multiLevelType w:val="multilevel"/>
    <w:tmpl w:val="785A58FE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 w:ascii="微软雅黑" w:hAnsi="微软雅黑" w:eastAsia="微软雅黑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420"/>
  <w:drawingGridHorizontalSpacing w:val="181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k4YThlMzExZjFiZTcwN2VjZmI1N2E2YjNmYThkYTIifQ=="/>
  </w:docVars>
  <w:rsids>
    <w:rsidRoot w:val="00FF41DD"/>
    <w:rsid w:val="00006506"/>
    <w:rsid w:val="000253E9"/>
    <w:rsid w:val="000460CC"/>
    <w:rsid w:val="000510D7"/>
    <w:rsid w:val="000B5B99"/>
    <w:rsid w:val="00103401"/>
    <w:rsid w:val="00143489"/>
    <w:rsid w:val="00172216"/>
    <w:rsid w:val="0017667E"/>
    <w:rsid w:val="0018578A"/>
    <w:rsid w:val="001C4E0D"/>
    <w:rsid w:val="00202673"/>
    <w:rsid w:val="002207C0"/>
    <w:rsid w:val="0026528F"/>
    <w:rsid w:val="002F44EC"/>
    <w:rsid w:val="002F7541"/>
    <w:rsid w:val="00312210"/>
    <w:rsid w:val="00314506"/>
    <w:rsid w:val="003159B6"/>
    <w:rsid w:val="00323946"/>
    <w:rsid w:val="00361B18"/>
    <w:rsid w:val="0038440D"/>
    <w:rsid w:val="003875B3"/>
    <w:rsid w:val="003A189C"/>
    <w:rsid w:val="003C51E7"/>
    <w:rsid w:val="004979C2"/>
    <w:rsid w:val="004D5466"/>
    <w:rsid w:val="00523DEB"/>
    <w:rsid w:val="005720C3"/>
    <w:rsid w:val="005832EA"/>
    <w:rsid w:val="005B20C0"/>
    <w:rsid w:val="005D51E9"/>
    <w:rsid w:val="005D7776"/>
    <w:rsid w:val="005E6373"/>
    <w:rsid w:val="00615339"/>
    <w:rsid w:val="00636CD5"/>
    <w:rsid w:val="00663FD6"/>
    <w:rsid w:val="00667181"/>
    <w:rsid w:val="006874F1"/>
    <w:rsid w:val="006A53F2"/>
    <w:rsid w:val="006C0F29"/>
    <w:rsid w:val="00707FA0"/>
    <w:rsid w:val="0073428F"/>
    <w:rsid w:val="007350C6"/>
    <w:rsid w:val="007523D1"/>
    <w:rsid w:val="00795B64"/>
    <w:rsid w:val="007D1285"/>
    <w:rsid w:val="007E5C43"/>
    <w:rsid w:val="00823CDC"/>
    <w:rsid w:val="008403C5"/>
    <w:rsid w:val="0091749D"/>
    <w:rsid w:val="0095120A"/>
    <w:rsid w:val="00977A6A"/>
    <w:rsid w:val="0098037D"/>
    <w:rsid w:val="009A63CD"/>
    <w:rsid w:val="009C6E28"/>
    <w:rsid w:val="009E3B34"/>
    <w:rsid w:val="009F1615"/>
    <w:rsid w:val="00A26B06"/>
    <w:rsid w:val="00A31C82"/>
    <w:rsid w:val="00A77FD8"/>
    <w:rsid w:val="00A821A3"/>
    <w:rsid w:val="00B07210"/>
    <w:rsid w:val="00B430AB"/>
    <w:rsid w:val="00B7179A"/>
    <w:rsid w:val="00B775EE"/>
    <w:rsid w:val="00B778B8"/>
    <w:rsid w:val="00B979DB"/>
    <w:rsid w:val="00BF4B85"/>
    <w:rsid w:val="00C254E5"/>
    <w:rsid w:val="00C65F30"/>
    <w:rsid w:val="00C71798"/>
    <w:rsid w:val="00CD0900"/>
    <w:rsid w:val="00D27A9E"/>
    <w:rsid w:val="00D331CB"/>
    <w:rsid w:val="00DA25CD"/>
    <w:rsid w:val="00DA4922"/>
    <w:rsid w:val="00DC16F6"/>
    <w:rsid w:val="00E44280"/>
    <w:rsid w:val="00E60F98"/>
    <w:rsid w:val="00EB7F96"/>
    <w:rsid w:val="00F47992"/>
    <w:rsid w:val="00F7285E"/>
    <w:rsid w:val="00F77285"/>
    <w:rsid w:val="00FB2BED"/>
    <w:rsid w:val="00FF41DD"/>
    <w:rsid w:val="01444239"/>
    <w:rsid w:val="02EF5257"/>
    <w:rsid w:val="039F1A58"/>
    <w:rsid w:val="044A54C0"/>
    <w:rsid w:val="053D01FE"/>
    <w:rsid w:val="065E4BED"/>
    <w:rsid w:val="07646498"/>
    <w:rsid w:val="08B14469"/>
    <w:rsid w:val="0B1E05F4"/>
    <w:rsid w:val="0C2C7F9E"/>
    <w:rsid w:val="0C37314C"/>
    <w:rsid w:val="0CD91D6C"/>
    <w:rsid w:val="0DC5708D"/>
    <w:rsid w:val="0E777212"/>
    <w:rsid w:val="0F602C75"/>
    <w:rsid w:val="12FA7BFF"/>
    <w:rsid w:val="13667144"/>
    <w:rsid w:val="1395778D"/>
    <w:rsid w:val="13A116D6"/>
    <w:rsid w:val="15B26FF1"/>
    <w:rsid w:val="16371E38"/>
    <w:rsid w:val="18610CDF"/>
    <w:rsid w:val="18BA7627"/>
    <w:rsid w:val="196B36E7"/>
    <w:rsid w:val="1A82104B"/>
    <w:rsid w:val="1BF40D75"/>
    <w:rsid w:val="1C12721A"/>
    <w:rsid w:val="1C1B2190"/>
    <w:rsid w:val="1C256468"/>
    <w:rsid w:val="1C502630"/>
    <w:rsid w:val="1DA21444"/>
    <w:rsid w:val="1FA30D4F"/>
    <w:rsid w:val="209648D2"/>
    <w:rsid w:val="20C1666D"/>
    <w:rsid w:val="20D6688E"/>
    <w:rsid w:val="221D5264"/>
    <w:rsid w:val="22DB35BF"/>
    <w:rsid w:val="22F63B56"/>
    <w:rsid w:val="25FF5011"/>
    <w:rsid w:val="26A24B89"/>
    <w:rsid w:val="27007DBA"/>
    <w:rsid w:val="2A0855B1"/>
    <w:rsid w:val="2B6F379B"/>
    <w:rsid w:val="2B9176E1"/>
    <w:rsid w:val="2BB173F1"/>
    <w:rsid w:val="2CDE118D"/>
    <w:rsid w:val="2EC73A12"/>
    <w:rsid w:val="2EEF6328"/>
    <w:rsid w:val="310D5B00"/>
    <w:rsid w:val="31C7156A"/>
    <w:rsid w:val="32527845"/>
    <w:rsid w:val="34246143"/>
    <w:rsid w:val="351D454F"/>
    <w:rsid w:val="3623509C"/>
    <w:rsid w:val="36D4577C"/>
    <w:rsid w:val="37C173D8"/>
    <w:rsid w:val="381F55FD"/>
    <w:rsid w:val="393515D1"/>
    <w:rsid w:val="3BC93F85"/>
    <w:rsid w:val="3C3016BC"/>
    <w:rsid w:val="3CF1311E"/>
    <w:rsid w:val="3D7836B4"/>
    <w:rsid w:val="40B97ED6"/>
    <w:rsid w:val="40C86AEF"/>
    <w:rsid w:val="41D45583"/>
    <w:rsid w:val="42125B72"/>
    <w:rsid w:val="429820F4"/>
    <w:rsid w:val="42CB576A"/>
    <w:rsid w:val="43974C8D"/>
    <w:rsid w:val="43AC125E"/>
    <w:rsid w:val="43B410A1"/>
    <w:rsid w:val="43DA119C"/>
    <w:rsid w:val="45036DA0"/>
    <w:rsid w:val="45081296"/>
    <w:rsid w:val="46772E43"/>
    <w:rsid w:val="47E97797"/>
    <w:rsid w:val="48322064"/>
    <w:rsid w:val="487B533C"/>
    <w:rsid w:val="48CB3095"/>
    <w:rsid w:val="4A13513B"/>
    <w:rsid w:val="4B6C0212"/>
    <w:rsid w:val="4B79669E"/>
    <w:rsid w:val="4C3A1F0F"/>
    <w:rsid w:val="4D1E4176"/>
    <w:rsid w:val="4EB928EC"/>
    <w:rsid w:val="4EBF74B0"/>
    <w:rsid w:val="4FB42A3D"/>
    <w:rsid w:val="50BD714A"/>
    <w:rsid w:val="50E56085"/>
    <w:rsid w:val="512A66B4"/>
    <w:rsid w:val="540E1D64"/>
    <w:rsid w:val="543C5360"/>
    <w:rsid w:val="55420F75"/>
    <w:rsid w:val="55EE15C4"/>
    <w:rsid w:val="55F23045"/>
    <w:rsid w:val="5610015D"/>
    <w:rsid w:val="57BF0C7B"/>
    <w:rsid w:val="59B411DD"/>
    <w:rsid w:val="59C844A2"/>
    <w:rsid w:val="5AC82706"/>
    <w:rsid w:val="5AE818F2"/>
    <w:rsid w:val="5B521816"/>
    <w:rsid w:val="5C214C2F"/>
    <w:rsid w:val="5C6704B7"/>
    <w:rsid w:val="5CAC2071"/>
    <w:rsid w:val="5DE7554D"/>
    <w:rsid w:val="5EA11E0D"/>
    <w:rsid w:val="5EDB517D"/>
    <w:rsid w:val="62C952DD"/>
    <w:rsid w:val="63D73D10"/>
    <w:rsid w:val="6404004F"/>
    <w:rsid w:val="64D01562"/>
    <w:rsid w:val="64F56864"/>
    <w:rsid w:val="650A6EC0"/>
    <w:rsid w:val="65257980"/>
    <w:rsid w:val="65C52D9A"/>
    <w:rsid w:val="66812000"/>
    <w:rsid w:val="67432DE8"/>
    <w:rsid w:val="68265DE1"/>
    <w:rsid w:val="68434ADE"/>
    <w:rsid w:val="695E2F77"/>
    <w:rsid w:val="6A022739"/>
    <w:rsid w:val="6BD34AC6"/>
    <w:rsid w:val="6C52132E"/>
    <w:rsid w:val="6D481308"/>
    <w:rsid w:val="6D4B57EC"/>
    <w:rsid w:val="6EBD063A"/>
    <w:rsid w:val="6EF06820"/>
    <w:rsid w:val="6F0F55DA"/>
    <w:rsid w:val="6F3F526F"/>
    <w:rsid w:val="6F6652B2"/>
    <w:rsid w:val="7095342B"/>
    <w:rsid w:val="70FF3288"/>
    <w:rsid w:val="720D50DE"/>
    <w:rsid w:val="727922E4"/>
    <w:rsid w:val="73AA192A"/>
    <w:rsid w:val="75662B05"/>
    <w:rsid w:val="75847489"/>
    <w:rsid w:val="768D7673"/>
    <w:rsid w:val="785C2082"/>
    <w:rsid w:val="7B357BAF"/>
    <w:rsid w:val="7C44055C"/>
    <w:rsid w:val="7DC41312"/>
    <w:rsid w:val="7EAB1C34"/>
    <w:rsid w:val="7EFF1DA6"/>
    <w:rsid w:val="7F6273EE"/>
    <w:rsid w:val="F7FFA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qFormat/>
    <w:uiPriority w:val="99"/>
    <w:rPr>
      <w:sz w:val="18"/>
      <w:szCs w:val="18"/>
    </w:rPr>
  </w:style>
  <w:style w:type="paragraph" w:customStyle="1" w:styleId="12">
    <w:name w:val="列出段落1"/>
    <w:basedOn w:val="1"/>
    <w:qFormat/>
    <w:uiPriority w:val="34"/>
    <w:pPr>
      <w:ind w:firstLine="420" w:firstLineChars="200"/>
    </w:p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character" w:customStyle="1" w:styleId="14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5">
    <w:name w:val="批注框文本 字符"/>
    <w:basedOn w:val="7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6">
    <w:name w:val="Table Paragraph"/>
    <w:basedOn w:val="1"/>
    <w:qFormat/>
    <w:uiPriority w:val="1"/>
    <w:rPr>
      <w:rFonts w:ascii="宋体" w:hAnsi="宋体" w:eastAsia="宋体" w:cs="宋体"/>
      <w:szCs w:val="24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tyleName="APA" SelectedStyle="\APASixthEditionOfficeOnline.xsl" Version="6"/>
</file>

<file path=customXml/itemProps1.xml><?xml version="1.0" encoding="utf-8"?>
<ds:datastoreItem xmlns:ds="http://schemas.openxmlformats.org/officeDocument/2006/customXml" ds:itemID="{B128241D-4A27-4923-B656-24F36BE3517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2359</Words>
  <Characters>2515</Characters>
  <Lines>19</Lines>
  <Paragraphs>5</Paragraphs>
  <TotalTime>1</TotalTime>
  <ScaleCrop>false</ScaleCrop>
  <LinksUpToDate>false</LinksUpToDate>
  <CharactersWithSpaces>2585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2024-12-31T03:16:00Z</dcterms:created>
  <dc:creator>NHT</dc:creator>
  <cp:lastModifiedBy>Vincent Tsang</cp:lastModifiedBy>
  <dcterms:modified xsi:type="dcterms:W3CDTF">2025-03-12T02:54:26Z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7AF0DF308297403093D91E0B12E689F5</vt:lpwstr>
  </property>
  <property fmtid="{D5CDD505-2E9C-101B-9397-08002B2CF9AE}" pid="4" name="KSOTemplateDocerSaveRecord">
    <vt:lpwstr>eyJoZGlkIjoiYzg0YmYyYzM4YTU4NDcwMDM5NjkxOWFlZWUwOGUxNmMiLCJ1c2VySWQiOiI1MDk4ODQ5MTIifQ==</vt:lpwstr>
  </property>
</Properties>
</file>