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8A3C2">
      <w:pPr>
        <w:jc w:val="center"/>
        <w:rPr>
          <w:rFonts w:hint="eastAsia" w:ascii="仿宋" w:hAnsi="仿宋" w:eastAsia="仿宋" w:cs="仿宋"/>
          <w:b/>
          <w:bCs/>
          <w:sz w:val="36"/>
          <w:szCs w:val="36"/>
          <w:lang w:val="en-US" w:eastAsia="zh-CN"/>
        </w:rPr>
      </w:pPr>
    </w:p>
    <w:p w14:paraId="6337BC3C">
      <w:pPr>
        <w:jc w:val="center"/>
        <w:rPr>
          <w:rFonts w:hint="eastAsia" w:ascii="仿宋" w:hAnsi="仿宋" w:eastAsia="仿宋" w:cs="仿宋"/>
          <w:b/>
          <w:bCs/>
          <w:sz w:val="36"/>
          <w:szCs w:val="36"/>
        </w:rPr>
      </w:pPr>
      <w:r>
        <w:rPr>
          <w:rFonts w:hint="eastAsia" w:ascii="仿宋" w:hAnsi="仿宋" w:eastAsia="仿宋" w:cs="仿宋"/>
          <w:b/>
          <w:bCs/>
          <w:sz w:val="18"/>
          <w:szCs w:val="21"/>
        </w:rPr>
        <w:drawing>
          <wp:anchor distT="0" distB="0" distL="114300" distR="114300" simplePos="0" relativeHeight="251663360" behindDoc="1" locked="0" layoutInCell="1" allowOverlap="1">
            <wp:simplePos x="0" y="0"/>
            <wp:positionH relativeFrom="column">
              <wp:posOffset>1840230</wp:posOffset>
            </wp:positionH>
            <wp:positionV relativeFrom="paragraph">
              <wp:posOffset>-450850</wp:posOffset>
            </wp:positionV>
            <wp:extent cx="1532890" cy="481965"/>
            <wp:effectExtent l="0" t="0" r="0" b="0"/>
            <wp:wrapThrough wrapText="bothSides">
              <wp:wrapPolygon>
                <wp:start x="1074" y="2561"/>
                <wp:lineTo x="1074" y="19636"/>
                <wp:lineTo x="10469" y="19636"/>
                <wp:lineTo x="20401" y="17075"/>
                <wp:lineTo x="20669" y="5123"/>
                <wp:lineTo x="19327" y="3415"/>
                <wp:lineTo x="10469" y="2561"/>
                <wp:lineTo x="1074" y="2561"/>
              </wp:wrapPolygon>
            </wp:wrapThrough>
            <wp:docPr id="1" name="图片 1" descr="生物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生物logo"/>
                    <pic:cNvPicPr>
                      <a:picLocks noChangeAspect="1"/>
                    </pic:cNvPicPr>
                  </pic:nvPicPr>
                  <pic:blipFill>
                    <a:blip r:embed="rId5" cstate="print"/>
                    <a:srcRect t="16334" b="16334"/>
                    <a:stretch>
                      <a:fillRect/>
                    </a:stretch>
                  </pic:blipFill>
                  <pic:spPr>
                    <a:xfrm>
                      <a:off x="0" y="0"/>
                      <a:ext cx="1532890" cy="481965"/>
                    </a:xfrm>
                    <a:prstGeom prst="rect">
                      <a:avLst/>
                    </a:prstGeom>
                  </pic:spPr>
                </pic:pic>
              </a:graphicData>
            </a:graphic>
          </wp:anchor>
        </w:drawing>
      </w:r>
      <w:r>
        <w:rPr>
          <w:rFonts w:hint="eastAsia" w:ascii="仿宋" w:hAnsi="仿宋" w:eastAsia="仿宋" w:cs="仿宋"/>
          <w:b/>
          <w:bCs/>
          <w:sz w:val="36"/>
          <w:szCs w:val="36"/>
          <w:lang w:val="en-US" w:eastAsia="zh-CN"/>
        </w:rPr>
        <w:t>BTE</w:t>
      </w:r>
      <w:r>
        <w:rPr>
          <w:rFonts w:hint="eastAsia" w:ascii="仿宋" w:hAnsi="仿宋" w:eastAsia="仿宋" w:cs="仿宋"/>
          <w:b/>
          <w:bCs/>
          <w:sz w:val="36"/>
          <w:szCs w:val="36"/>
        </w:rPr>
        <w:t>第</w:t>
      </w:r>
      <w:r>
        <w:rPr>
          <w:rFonts w:hint="eastAsia" w:ascii="仿宋" w:hAnsi="仿宋" w:eastAsia="仿宋" w:cs="仿宋"/>
          <w:b/>
          <w:bCs/>
          <w:sz w:val="36"/>
          <w:szCs w:val="36"/>
          <w:lang w:val="en-US" w:eastAsia="zh-CN"/>
        </w:rPr>
        <w:t>9</w:t>
      </w:r>
      <w:r>
        <w:rPr>
          <w:rFonts w:hint="eastAsia" w:ascii="仿宋" w:hAnsi="仿宋" w:eastAsia="仿宋" w:cs="仿宋"/>
          <w:b/>
          <w:bCs/>
          <w:sz w:val="36"/>
          <w:szCs w:val="36"/>
        </w:rPr>
        <w:t>届国际生物技术大会暨</w:t>
      </w:r>
      <w:r>
        <w:rPr>
          <w:rFonts w:hint="eastAsia" w:ascii="仿宋" w:hAnsi="仿宋" w:eastAsia="仿宋" w:cs="仿宋"/>
          <w:b/>
          <w:bCs/>
          <w:sz w:val="36"/>
          <w:szCs w:val="36"/>
          <w:lang w:val="en-US" w:eastAsia="zh-CN"/>
        </w:rPr>
        <w:t>展</w:t>
      </w:r>
      <w:r>
        <w:rPr>
          <w:rFonts w:hint="eastAsia" w:ascii="仿宋" w:hAnsi="仿宋" w:eastAsia="仿宋" w:cs="仿宋"/>
          <w:b/>
          <w:bCs/>
          <w:sz w:val="36"/>
          <w:szCs w:val="36"/>
        </w:rPr>
        <w:t>览会</w:t>
      </w:r>
    </w:p>
    <w:p w14:paraId="70DA298E">
      <w:pPr>
        <w:jc w:val="center"/>
        <w:rPr>
          <w:rFonts w:hint="eastAsia" w:ascii="仿宋" w:hAnsi="仿宋" w:eastAsia="仿宋" w:cs="仿宋"/>
          <w:sz w:val="24"/>
        </w:rPr>
      </w:pPr>
      <w:r>
        <w:rPr>
          <w:rFonts w:hint="eastAsia" w:ascii="仿宋" w:hAnsi="仿宋" w:eastAsia="仿宋" w:cs="仿宋"/>
          <w:sz w:val="24"/>
        </w:rPr>
        <w:t xml:space="preserve">The </w:t>
      </w:r>
      <w:r>
        <w:rPr>
          <w:rFonts w:hint="eastAsia" w:ascii="仿宋" w:hAnsi="仿宋" w:eastAsia="仿宋" w:cs="仿宋"/>
          <w:sz w:val="24"/>
          <w:lang w:val="en-US" w:eastAsia="zh-CN"/>
        </w:rPr>
        <w:t>9</w:t>
      </w:r>
      <w:r>
        <w:rPr>
          <w:rFonts w:hint="eastAsia" w:ascii="仿宋" w:hAnsi="仿宋" w:eastAsia="仿宋" w:cs="仿宋"/>
          <w:sz w:val="24"/>
          <w:vertAlign w:val="superscript"/>
        </w:rPr>
        <w:t>th</w:t>
      </w:r>
      <w:r>
        <w:rPr>
          <w:rFonts w:hint="eastAsia" w:ascii="仿宋" w:hAnsi="仿宋" w:eastAsia="仿宋" w:cs="仿宋"/>
          <w:sz w:val="24"/>
        </w:rPr>
        <w:t xml:space="preserve"> International Bio-technology Conference &amp; Expo</w:t>
      </w:r>
    </w:p>
    <w:p w14:paraId="3DFB30BE">
      <w:pPr>
        <w:rPr>
          <w:rFonts w:hint="eastAsia" w:ascii="仿宋" w:hAnsi="仿宋" w:eastAsia="仿宋" w:cs="仿宋"/>
          <w:b/>
          <w:bCs/>
        </w:rPr>
      </w:pPr>
      <w:r>
        <w:rPr>
          <w:rFonts w:hint="eastAsia" w:ascii="仿宋" w:hAnsi="仿宋" w:eastAsia="仿宋" w:cs="仿宋"/>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127000</wp:posOffset>
                </wp:positionV>
                <wp:extent cx="5343525" cy="0"/>
                <wp:effectExtent l="0" t="19050" r="9525" b="19050"/>
                <wp:wrapNone/>
                <wp:docPr id="2" name="直接连接符 2"/>
                <wp:cNvGraphicFramePr/>
                <a:graphic xmlns:a="http://schemas.openxmlformats.org/drawingml/2006/main">
                  <a:graphicData uri="http://schemas.microsoft.com/office/word/2010/wordprocessingShape">
                    <wps:wsp>
                      <wps:cNvCnPr/>
                      <wps:spPr>
                        <a:xfrm>
                          <a:off x="1135380" y="2153920"/>
                          <a:ext cx="5343525" cy="0"/>
                        </a:xfrm>
                        <a:prstGeom prst="line">
                          <a:avLst/>
                        </a:prstGeom>
                        <a:noFill/>
                        <a:ln w="381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6pt;margin-top:10pt;height:0pt;width:420.75pt;z-index:251660288;mso-width-relative:page;mso-height-relative:page;" filled="f" stroked="t" coordsize="21600,21600" o:gfxdata="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tRgR1wAAAAgBAAAPAAAAAAAAAAEAIAAAACIAAABkcnMvZG93bnJldi54bWxQSwEC&#10;FAAUAAAACACHTuJAP0IrX/UBAADMAwAADgAAAAAAAAABACAAAAAmAQAAZHJzL2Uyb0RvYy54bWxQ&#10;SwUGAAAAAAYABgBZAQAAjQUAAAAA&#10;">
                <v:fill on="f" focussize="0,0"/>
                <v:stroke weight="3pt" color="#000000" miterlimit="8" joinstyle="miter"/>
                <v:imagedata o:title=""/>
                <o:lock v:ext="edit" aspectratio="f"/>
              </v:line>
            </w:pict>
          </mc:Fallback>
        </mc:AlternateContent>
      </w:r>
    </w:p>
    <w:p w14:paraId="564607F0">
      <w:pPr>
        <w:jc w:val="center"/>
        <w:rPr>
          <w:rFonts w:hint="eastAsia" w:ascii="仿宋" w:hAnsi="仿宋" w:eastAsia="仿宋" w:cs="仿宋"/>
          <w:b/>
          <w:bCs/>
          <w:sz w:val="32"/>
          <w:szCs w:val="32"/>
        </w:rPr>
      </w:pPr>
      <w:r>
        <w:rPr>
          <w:rFonts w:hint="eastAsia" w:ascii="仿宋" w:hAnsi="仿宋" w:eastAsia="仿宋" w:cs="仿宋"/>
          <w:b/>
          <w:bCs/>
          <w:sz w:val="32"/>
          <w:szCs w:val="32"/>
        </w:rPr>
        <w:t>202</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年</w:t>
      </w:r>
      <w:r>
        <w:rPr>
          <w:rFonts w:hint="eastAsia" w:ascii="仿宋" w:hAnsi="仿宋" w:eastAsia="仿宋" w:cs="仿宋"/>
          <w:b/>
          <w:bCs/>
          <w:sz w:val="32"/>
          <w:szCs w:val="32"/>
          <w:lang w:val="en-US" w:eastAsia="zh-CN"/>
        </w:rPr>
        <w:t>6</w:t>
      </w:r>
      <w:r>
        <w:rPr>
          <w:rFonts w:hint="eastAsia" w:ascii="仿宋" w:hAnsi="仿宋" w:eastAsia="仿宋" w:cs="仿宋"/>
          <w:b/>
          <w:bCs/>
          <w:sz w:val="32"/>
          <w:szCs w:val="32"/>
        </w:rPr>
        <w:t>月</w:t>
      </w: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 xml:space="preserve">日 </w:t>
      </w:r>
      <w:r>
        <w:rPr>
          <w:rFonts w:hint="eastAsia" w:ascii="仿宋" w:hAnsi="仿宋" w:eastAsia="仿宋" w:cs="仿宋"/>
          <w:b/>
          <w:bCs/>
          <w:sz w:val="32"/>
          <w:szCs w:val="32"/>
          <w:lang w:val="en-US" w:eastAsia="zh-CN"/>
        </w:rPr>
        <w:t xml:space="preserve">   广州·广交会展馆B区</w:t>
      </w:r>
      <w:r>
        <w:rPr>
          <w:rFonts w:hint="eastAsia" w:ascii="仿宋" w:hAnsi="仿宋" w:eastAsia="仿宋" w:cs="仿宋"/>
          <w:b/>
          <w:bCs/>
          <w:sz w:val="32"/>
          <w:szCs w:val="32"/>
        </w:rPr>
        <w:tab/>
      </w:r>
      <w:r>
        <w:rPr>
          <w:rFonts w:hint="eastAsia" w:ascii="仿宋" w:hAnsi="仿宋" w:eastAsia="仿宋" w:cs="仿宋"/>
          <w:b/>
          <w:bCs/>
          <w:sz w:val="32"/>
          <w:szCs w:val="32"/>
        </w:rPr>
        <w:tab/>
      </w:r>
    </w:p>
    <w:p w14:paraId="47F2D588">
      <w:pPr>
        <w:jc w:val="center"/>
        <w:rPr>
          <w:rFonts w:hint="eastAsia" w:asciiTheme="minorEastAsia" w:hAnsiTheme="minorEastAsia" w:cstheme="minorEastAsia"/>
          <w:b/>
          <w:color w:val="000000" w:themeColor="text1"/>
          <w:sz w:val="28"/>
          <w:szCs w:val="28"/>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14:paraId="0942DED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仿宋" w:cs="仿宋"/>
          <w:b/>
          <w:bCs/>
          <w:sz w:val="24"/>
          <w:szCs w:val="24"/>
          <w:lang w:val="en-US" w:eastAsia="zh-CN"/>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equalWidth="0" w:num="2">
            <w:col w:w="3940" w:space="425"/>
            <w:col w:w="3940"/>
          </w:cols>
          <w:docGrid w:type="lines" w:linePitch="312" w:charSpace="0"/>
        </w:sectPr>
      </w:pPr>
    </w:p>
    <w:p w14:paraId="4A84E3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仿宋"/>
          <w:b/>
          <w:bCs/>
          <w:sz w:val="24"/>
          <w:szCs w:val="24"/>
          <w:lang w:val="en-US" w:eastAsia="zh-CN"/>
        </w:rPr>
      </w:pPr>
      <w:r>
        <w:rPr>
          <w:rFonts w:hint="eastAsia" w:eastAsia="仿宋" w:cs="仿宋"/>
          <w:b/>
          <w:bCs/>
          <w:sz w:val="28"/>
          <w:szCs w:val="28"/>
          <w:lang w:val="en-US" w:eastAsia="zh-CN"/>
        </w:rPr>
        <w:t>生物制药、细胞治疗、体外诊断、基因技术、医学检验</w:t>
      </w:r>
    </w:p>
    <w:p w14:paraId="3311D82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仿宋" w:cs="仿宋"/>
          <w:b/>
          <w:bCs/>
          <w:sz w:val="24"/>
          <w:szCs w:val="24"/>
          <w:lang w:val="en-US" w:eastAsia="zh-CN"/>
        </w:rPr>
      </w:pPr>
      <w:r>
        <w:rPr>
          <w:sz w:val="36"/>
          <w:szCs w:val="28"/>
        </w:rPr>
        <mc:AlternateContent>
          <mc:Choice Requires="wps">
            <w:drawing>
              <wp:anchor distT="0" distB="0" distL="114300" distR="114300" simplePos="0" relativeHeight="251664384" behindDoc="0" locked="0" layoutInCell="1" allowOverlap="1">
                <wp:simplePos x="0" y="0"/>
                <wp:positionH relativeFrom="column">
                  <wp:posOffset>184785</wp:posOffset>
                </wp:positionH>
                <wp:positionV relativeFrom="paragraph">
                  <wp:posOffset>153670</wp:posOffset>
                </wp:positionV>
                <wp:extent cx="4505325" cy="1629410"/>
                <wp:effectExtent l="4445" t="4445" r="5080" b="23495"/>
                <wp:wrapTopAndBottom/>
                <wp:docPr id="7" name="文本框 7"/>
                <wp:cNvGraphicFramePr/>
                <a:graphic xmlns:a="http://schemas.openxmlformats.org/drawingml/2006/main">
                  <a:graphicData uri="http://schemas.microsoft.com/office/word/2010/wordprocessingShape">
                    <wps:wsp>
                      <wps:cNvSpPr txBox="1"/>
                      <wps:spPr>
                        <a:xfrm>
                          <a:off x="1375410" y="2601595"/>
                          <a:ext cx="4505325" cy="1629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0B1248">
                            <w:pPr>
                              <w:jc w:val="both"/>
                              <w:rPr>
                                <w:rFonts w:hint="default" w:eastAsia="仿宋" w:cs="仿宋" w:asciiTheme="minorAscii" w:hAnsiTheme="minorAscii"/>
                                <w:sz w:val="40"/>
                                <w:szCs w:val="40"/>
                                <w:lang w:eastAsia="zh-CN"/>
                              </w:rPr>
                            </w:pPr>
                            <w:r>
                              <w:rPr>
                                <w:rFonts w:hint="default" w:eastAsia="仿宋" w:cs="仿宋" w:asciiTheme="minorAscii" w:hAnsiTheme="minorAscii"/>
                                <w:sz w:val="40"/>
                                <w:szCs w:val="40"/>
                                <w:lang w:eastAsia="zh-CN"/>
                              </w:rPr>
                              <w:drawing>
                                <wp:inline distT="0" distB="0" distL="114300" distR="114300">
                                  <wp:extent cx="1001395" cy="383540"/>
                                  <wp:effectExtent l="0" t="0" r="0" b="16510"/>
                                  <wp:docPr id="8" name="图片 8" descr="高交会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高交会logo-02"/>
                                          <pic:cNvPicPr>
                                            <a:picLocks noChangeAspect="1"/>
                                          </pic:cNvPicPr>
                                        </pic:nvPicPr>
                                        <pic:blipFill>
                                          <a:blip r:embed="rId6"/>
                                          <a:stretch>
                                            <a:fillRect/>
                                          </a:stretch>
                                        </pic:blipFill>
                                        <pic:spPr>
                                          <a:xfrm>
                                            <a:off x="0" y="0"/>
                                            <a:ext cx="1001395" cy="383540"/>
                                          </a:xfrm>
                                          <a:prstGeom prst="rect">
                                            <a:avLst/>
                                          </a:prstGeom>
                                        </pic:spPr>
                                      </pic:pic>
                                    </a:graphicData>
                                  </a:graphic>
                                </wp:inline>
                              </w:drawing>
                            </w:r>
                          </w:p>
                          <w:p w14:paraId="222D8ACB">
                            <w:pPr>
                              <w:jc w:val="both"/>
                              <w:rPr>
                                <w:rFonts w:hint="default" w:eastAsia="仿宋" w:cs="仿宋" w:asciiTheme="minorAscii" w:hAnsiTheme="minorAscii"/>
                                <w:b/>
                                <w:bCs/>
                                <w:sz w:val="24"/>
                                <w:szCs w:val="16"/>
                                <w:lang w:val="en-US" w:eastAsia="zh-CN"/>
                              </w:rPr>
                            </w:pPr>
                            <w:r>
                              <w:rPr>
                                <w:rFonts w:hint="default" w:eastAsia="仿宋" w:cs="仿宋" w:asciiTheme="minorAscii" w:hAnsiTheme="minorAscii"/>
                                <w:b/>
                                <w:bCs/>
                                <w:sz w:val="24"/>
                                <w:szCs w:val="16"/>
                                <w:lang w:val="en-US" w:eastAsia="zh-CN"/>
                              </w:rPr>
                              <w:t>第二十</w:t>
                            </w:r>
                            <w:r>
                              <w:rPr>
                                <w:rFonts w:hint="eastAsia" w:eastAsia="仿宋" w:cs="仿宋"/>
                                <w:b/>
                                <w:bCs/>
                                <w:sz w:val="24"/>
                                <w:szCs w:val="16"/>
                                <w:lang w:val="en-US" w:eastAsia="zh-CN"/>
                              </w:rPr>
                              <w:t>七</w:t>
                            </w:r>
                            <w:r>
                              <w:rPr>
                                <w:rFonts w:hint="default" w:eastAsia="仿宋" w:cs="仿宋" w:asciiTheme="minorAscii" w:hAnsiTheme="minorAscii"/>
                                <w:b/>
                                <w:bCs/>
                                <w:sz w:val="24"/>
                                <w:szCs w:val="16"/>
                                <w:lang w:val="en-US" w:eastAsia="zh-CN"/>
                              </w:rPr>
                              <w:t>届中国国际高新技术成果交易会</w:t>
                            </w:r>
                            <w:r>
                              <w:rPr>
                                <w:rFonts w:hint="eastAsia" w:eastAsia="仿宋" w:cs="仿宋"/>
                                <w:b/>
                                <w:bCs/>
                                <w:sz w:val="24"/>
                                <w:szCs w:val="16"/>
                                <w:lang w:val="en-US" w:eastAsia="zh-CN"/>
                              </w:rPr>
                              <w:t>（高交会）</w:t>
                            </w:r>
                          </w:p>
                          <w:p w14:paraId="211A837C">
                            <w:pPr>
                              <w:jc w:val="left"/>
                              <w:rPr>
                                <w:rFonts w:hint="eastAsia" w:ascii="仿宋" w:hAnsi="仿宋" w:eastAsia="仿宋" w:cs="仿宋"/>
                                <w:sz w:val="18"/>
                                <w:szCs w:val="21"/>
                              </w:rPr>
                            </w:pPr>
                            <w:r>
                              <w:rPr>
                                <w:rFonts w:hint="eastAsia" w:ascii="仿宋" w:hAnsi="仿宋" w:eastAsia="仿宋" w:cs="仿宋"/>
                                <w:b w:val="0"/>
                                <w:bCs w:val="0"/>
                                <w:sz w:val="22"/>
                                <w:szCs w:val="22"/>
                                <w:lang w:val="en-US" w:eastAsia="zh-CN"/>
                              </w:rPr>
                              <w:t>THE 27</w:t>
                            </w:r>
                            <w:r>
                              <w:rPr>
                                <w:rFonts w:hint="eastAsia" w:ascii="仿宋" w:hAnsi="仿宋" w:eastAsia="仿宋" w:cs="仿宋"/>
                                <w:b w:val="0"/>
                                <w:bCs w:val="0"/>
                                <w:sz w:val="22"/>
                                <w:szCs w:val="22"/>
                                <w:vertAlign w:val="superscript"/>
                                <w:lang w:val="en-US" w:eastAsia="zh-CN"/>
                              </w:rPr>
                              <w:t>th</w:t>
                            </w:r>
                            <w:r>
                              <w:rPr>
                                <w:rFonts w:hint="eastAsia" w:ascii="仿宋" w:hAnsi="仿宋" w:eastAsia="仿宋" w:cs="仿宋"/>
                                <w:b w:val="0"/>
                                <w:bCs w:val="0"/>
                                <w:sz w:val="22"/>
                                <w:szCs w:val="22"/>
                                <w:lang w:val="en-US" w:eastAsia="zh-CN"/>
                              </w:rPr>
                              <w:t xml:space="preserve"> CHINA HI-TECH FAIR</w:t>
                            </w:r>
                          </w:p>
                          <w:p w14:paraId="24FF34CF">
                            <w:pP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医药/生物技术/医学检验/高端医疗展</w:t>
                            </w:r>
                          </w:p>
                          <w:p w14:paraId="1694E07B">
                            <w:pPr>
                              <w:rPr>
                                <w:sz w:val="18"/>
                                <w:szCs w:val="21"/>
                              </w:rPr>
                            </w:pPr>
                            <w:r>
                              <w:rPr>
                                <w:rFonts w:hint="eastAsia" w:ascii="仿宋" w:hAnsi="仿宋" w:eastAsia="仿宋" w:cs="仿宋"/>
                                <w:b/>
                                <w:bCs/>
                                <w:sz w:val="24"/>
                                <w:szCs w:val="24"/>
                                <w:lang w:val="en-US" w:eastAsia="zh-CN"/>
                              </w:rPr>
                              <w:t>2025年11月14-16日   深圳国际会展中心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12.1pt;height:128.3pt;width:354.75pt;mso-wrap-distance-bottom:0pt;mso-wrap-distance-top:0pt;z-index:251664384;mso-width-relative:page;mso-height-relative:page;" fillcolor="#FFFFFF [3201]" filled="t" stroked="t" coordsize="21600,21600" o:gfxdata="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7Bh2b1gAAAAkBAAAPAAAAAAAAAAEAIAAAACIAAABkcnMvZG93bnJldi54bWxQSwECFAAU&#10;AAAACACHTuJAVJV8pWUCAADEBAAADgAAAAAAAAABACAAAAAlAQAAZHJzL2Uyb0RvYy54bWxQSwUG&#10;AAAAAAYABgBZAQAA/AUAAAAA&#10;">
                <v:fill on="t" focussize="0,0"/>
                <v:stroke weight="0.5pt" color="#000000 [3204]" joinstyle="round"/>
                <v:imagedata o:title=""/>
                <o:lock v:ext="edit" aspectratio="f"/>
                <v:textbox>
                  <w:txbxContent>
                    <w:p w14:paraId="4A0B1248">
                      <w:pPr>
                        <w:jc w:val="both"/>
                        <w:rPr>
                          <w:rFonts w:hint="default" w:eastAsia="仿宋" w:cs="仿宋" w:asciiTheme="minorAscii" w:hAnsiTheme="minorAscii"/>
                          <w:sz w:val="40"/>
                          <w:szCs w:val="40"/>
                          <w:lang w:eastAsia="zh-CN"/>
                        </w:rPr>
                      </w:pPr>
                      <w:r>
                        <w:rPr>
                          <w:rFonts w:hint="default" w:eastAsia="仿宋" w:cs="仿宋" w:asciiTheme="minorAscii" w:hAnsiTheme="minorAscii"/>
                          <w:sz w:val="40"/>
                          <w:szCs w:val="40"/>
                          <w:lang w:eastAsia="zh-CN"/>
                        </w:rPr>
                        <w:drawing>
                          <wp:inline distT="0" distB="0" distL="114300" distR="114300">
                            <wp:extent cx="1001395" cy="383540"/>
                            <wp:effectExtent l="0" t="0" r="0" b="16510"/>
                            <wp:docPr id="8" name="图片 8" descr="高交会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高交会logo-02"/>
                                    <pic:cNvPicPr>
                                      <a:picLocks noChangeAspect="1"/>
                                    </pic:cNvPicPr>
                                  </pic:nvPicPr>
                                  <pic:blipFill>
                                    <a:blip r:embed="rId6"/>
                                    <a:stretch>
                                      <a:fillRect/>
                                    </a:stretch>
                                  </pic:blipFill>
                                  <pic:spPr>
                                    <a:xfrm>
                                      <a:off x="0" y="0"/>
                                      <a:ext cx="1001395" cy="383540"/>
                                    </a:xfrm>
                                    <a:prstGeom prst="rect">
                                      <a:avLst/>
                                    </a:prstGeom>
                                  </pic:spPr>
                                </pic:pic>
                              </a:graphicData>
                            </a:graphic>
                          </wp:inline>
                        </w:drawing>
                      </w:r>
                    </w:p>
                    <w:p w14:paraId="222D8ACB">
                      <w:pPr>
                        <w:jc w:val="both"/>
                        <w:rPr>
                          <w:rFonts w:hint="default" w:eastAsia="仿宋" w:cs="仿宋" w:asciiTheme="minorAscii" w:hAnsiTheme="minorAscii"/>
                          <w:b/>
                          <w:bCs/>
                          <w:sz w:val="24"/>
                          <w:szCs w:val="16"/>
                          <w:lang w:val="en-US" w:eastAsia="zh-CN"/>
                        </w:rPr>
                      </w:pPr>
                      <w:r>
                        <w:rPr>
                          <w:rFonts w:hint="default" w:eastAsia="仿宋" w:cs="仿宋" w:asciiTheme="minorAscii" w:hAnsiTheme="minorAscii"/>
                          <w:b/>
                          <w:bCs/>
                          <w:sz w:val="24"/>
                          <w:szCs w:val="16"/>
                          <w:lang w:val="en-US" w:eastAsia="zh-CN"/>
                        </w:rPr>
                        <w:t>第二十</w:t>
                      </w:r>
                      <w:r>
                        <w:rPr>
                          <w:rFonts w:hint="eastAsia" w:eastAsia="仿宋" w:cs="仿宋"/>
                          <w:b/>
                          <w:bCs/>
                          <w:sz w:val="24"/>
                          <w:szCs w:val="16"/>
                          <w:lang w:val="en-US" w:eastAsia="zh-CN"/>
                        </w:rPr>
                        <w:t>七</w:t>
                      </w:r>
                      <w:r>
                        <w:rPr>
                          <w:rFonts w:hint="default" w:eastAsia="仿宋" w:cs="仿宋" w:asciiTheme="minorAscii" w:hAnsiTheme="minorAscii"/>
                          <w:b/>
                          <w:bCs/>
                          <w:sz w:val="24"/>
                          <w:szCs w:val="16"/>
                          <w:lang w:val="en-US" w:eastAsia="zh-CN"/>
                        </w:rPr>
                        <w:t>届中国国际高新技术成果交易会</w:t>
                      </w:r>
                      <w:r>
                        <w:rPr>
                          <w:rFonts w:hint="eastAsia" w:eastAsia="仿宋" w:cs="仿宋"/>
                          <w:b/>
                          <w:bCs/>
                          <w:sz w:val="24"/>
                          <w:szCs w:val="16"/>
                          <w:lang w:val="en-US" w:eastAsia="zh-CN"/>
                        </w:rPr>
                        <w:t>（高交会）</w:t>
                      </w:r>
                    </w:p>
                    <w:p w14:paraId="211A837C">
                      <w:pPr>
                        <w:jc w:val="left"/>
                        <w:rPr>
                          <w:rFonts w:hint="eastAsia" w:ascii="仿宋" w:hAnsi="仿宋" w:eastAsia="仿宋" w:cs="仿宋"/>
                          <w:sz w:val="18"/>
                          <w:szCs w:val="21"/>
                        </w:rPr>
                      </w:pPr>
                      <w:r>
                        <w:rPr>
                          <w:rFonts w:hint="eastAsia" w:ascii="仿宋" w:hAnsi="仿宋" w:eastAsia="仿宋" w:cs="仿宋"/>
                          <w:b w:val="0"/>
                          <w:bCs w:val="0"/>
                          <w:sz w:val="22"/>
                          <w:szCs w:val="22"/>
                          <w:lang w:val="en-US" w:eastAsia="zh-CN"/>
                        </w:rPr>
                        <w:t>THE 27</w:t>
                      </w:r>
                      <w:r>
                        <w:rPr>
                          <w:rFonts w:hint="eastAsia" w:ascii="仿宋" w:hAnsi="仿宋" w:eastAsia="仿宋" w:cs="仿宋"/>
                          <w:b w:val="0"/>
                          <w:bCs w:val="0"/>
                          <w:sz w:val="22"/>
                          <w:szCs w:val="22"/>
                          <w:vertAlign w:val="superscript"/>
                          <w:lang w:val="en-US" w:eastAsia="zh-CN"/>
                        </w:rPr>
                        <w:t>th</w:t>
                      </w:r>
                      <w:r>
                        <w:rPr>
                          <w:rFonts w:hint="eastAsia" w:ascii="仿宋" w:hAnsi="仿宋" w:eastAsia="仿宋" w:cs="仿宋"/>
                          <w:b w:val="0"/>
                          <w:bCs w:val="0"/>
                          <w:sz w:val="22"/>
                          <w:szCs w:val="22"/>
                          <w:lang w:val="en-US" w:eastAsia="zh-CN"/>
                        </w:rPr>
                        <w:t xml:space="preserve"> CHINA HI-TECH FAIR</w:t>
                      </w:r>
                    </w:p>
                    <w:p w14:paraId="24FF34CF">
                      <w:pP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医药/生物技术/医学检验/高端医疗展</w:t>
                      </w:r>
                    </w:p>
                    <w:p w14:paraId="1694E07B">
                      <w:pPr>
                        <w:rPr>
                          <w:sz w:val="18"/>
                          <w:szCs w:val="21"/>
                        </w:rPr>
                      </w:pPr>
                      <w:r>
                        <w:rPr>
                          <w:rFonts w:hint="eastAsia" w:ascii="仿宋" w:hAnsi="仿宋" w:eastAsia="仿宋" w:cs="仿宋"/>
                          <w:b/>
                          <w:bCs/>
                          <w:sz w:val="24"/>
                          <w:szCs w:val="24"/>
                          <w:lang w:val="en-US" w:eastAsia="zh-CN"/>
                        </w:rPr>
                        <w:t>2025年11月14-16日   深圳国际会展中心</w:t>
                      </w:r>
                    </w:p>
                  </w:txbxContent>
                </v:textbox>
                <w10:wrap type="topAndBottom"/>
              </v:shape>
            </w:pict>
          </mc:Fallback>
        </mc:AlternateContent>
      </w:r>
    </w:p>
    <w:p w14:paraId="5E76FC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b/>
          <w:bCs/>
          <w:sz w:val="24"/>
          <w:szCs w:val="24"/>
          <w:lang w:val="en-US" w:eastAsia="zh-CN"/>
        </w:rPr>
      </w:pPr>
      <w:r>
        <w:rPr>
          <w:rFonts w:hint="eastAsia" w:eastAsia="仿宋" w:cs="仿宋"/>
          <w:b/>
          <w:bCs/>
          <w:sz w:val="24"/>
          <w:szCs w:val="24"/>
          <w:lang w:val="en-US" w:eastAsia="zh-CN"/>
        </w:rPr>
        <w:t>主办单位</w:t>
      </w:r>
    </w:p>
    <w:p w14:paraId="6C6E91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E4098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rPr>
      </w:pPr>
      <w:r>
        <w:rPr>
          <w:rFonts w:hint="default" w:eastAsia="仿宋" w:cs="仿宋" w:asciiTheme="minorAscii" w:hAnsiTheme="minorAscii"/>
          <w:sz w:val="24"/>
          <w:szCs w:val="24"/>
        </w:rPr>
        <w:t>蛋白药研究会</w:t>
      </w:r>
    </w:p>
    <w:p w14:paraId="5B0EF0D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rPr>
      </w:pPr>
      <w:r>
        <w:rPr>
          <w:rFonts w:hint="default" w:eastAsia="仿宋" w:cs="仿宋" w:asciiTheme="minorAscii" w:hAnsiTheme="minorAscii"/>
          <w:sz w:val="24"/>
          <w:szCs w:val="24"/>
        </w:rPr>
        <w:t>广东省生物产业协会</w:t>
      </w:r>
    </w:p>
    <w:p w14:paraId="595644A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rPr>
      </w:pPr>
      <w:r>
        <w:rPr>
          <w:rFonts w:hint="default" w:eastAsia="仿宋" w:cs="仿宋" w:asciiTheme="minorAscii" w:hAnsiTheme="minorAscii"/>
          <w:sz w:val="24"/>
          <w:szCs w:val="24"/>
        </w:rPr>
        <w:t>广州医药行业协会</w:t>
      </w:r>
    </w:p>
    <w:p w14:paraId="1FEB9AD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equalWidth="0" w:num="2">
            <w:col w:w="3940" w:space="425"/>
            <w:col w:w="3940"/>
          </w:cols>
          <w:docGrid w:type="lines" w:linePitch="312" w:charSpace="0"/>
        </w:sectPr>
      </w:pPr>
      <w:r>
        <w:rPr>
          <w:rFonts w:hint="default" w:eastAsia="仿宋" w:cs="仿宋" w:asciiTheme="minorAscii" w:hAnsiTheme="minorAscii"/>
          <w:sz w:val="24"/>
          <w:szCs w:val="24"/>
        </w:rPr>
        <w:t>振威</w:t>
      </w:r>
      <w:r>
        <w:rPr>
          <w:rFonts w:hint="default" w:eastAsia="仿宋" w:cs="仿宋" w:asciiTheme="minorAscii" w:hAnsiTheme="minorAscii"/>
          <w:sz w:val="24"/>
          <w:szCs w:val="24"/>
          <w:lang w:val="en-US" w:eastAsia="zh-CN"/>
        </w:rPr>
        <w:t>国际会展集团</w:t>
      </w:r>
    </w:p>
    <w:p w14:paraId="3997FC7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b/>
          <w:bCs/>
          <w:sz w:val="24"/>
          <w:szCs w:val="24"/>
          <w:lang w:val="en-US" w:eastAsia="zh-CN"/>
        </w:rPr>
      </w:pPr>
      <w:r>
        <w:rPr>
          <w:rFonts w:hint="default" w:eastAsia="仿宋" w:cs="仿宋" w:asciiTheme="minorAscii" w:hAnsiTheme="minorAscii"/>
          <w:b/>
          <w:bCs/>
          <w:sz w:val="24"/>
          <w:szCs w:val="24"/>
          <w:lang w:val="en-US" w:eastAsia="zh-CN"/>
        </w:rPr>
        <w:t>支持单位</w:t>
      </w:r>
    </w:p>
    <w:p w14:paraId="4382BFB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1EBF14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广东省保健协会检验分会</w:t>
      </w:r>
    </w:p>
    <w:p w14:paraId="7E51657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广东工业大学生物医药学院</w:t>
      </w:r>
    </w:p>
    <w:p w14:paraId="622B075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深圳市生命科技产学研资联盟</w:t>
      </w:r>
    </w:p>
    <w:p w14:paraId="3BBF0F8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广州国际生物岛有限公司</w:t>
      </w:r>
    </w:p>
    <w:p w14:paraId="1D51AE1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珠海市药学会</w:t>
      </w:r>
    </w:p>
    <w:p w14:paraId="591797C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珠海市医药行业协会</w:t>
      </w:r>
    </w:p>
    <w:p w14:paraId="1DC364F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珠海市食品安全协会</w:t>
      </w:r>
    </w:p>
    <w:p w14:paraId="7F85E64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中山市药学会</w:t>
      </w:r>
    </w:p>
    <w:p w14:paraId="6A9D0D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中山市健康科技产业基地</w:t>
      </w:r>
    </w:p>
    <w:p w14:paraId="554CE5D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pPr>
      <w:r>
        <w:rPr>
          <w:rFonts w:hint="default" w:eastAsia="仿宋" w:cs="仿宋" w:asciiTheme="minorAscii" w:hAnsiTheme="minorAscii"/>
          <w:sz w:val="24"/>
          <w:szCs w:val="24"/>
          <w:lang w:val="en-US" w:eastAsia="zh-CN"/>
        </w:rPr>
        <w:t>深圳市生物医药促进会</w:t>
      </w:r>
    </w:p>
    <w:p w14:paraId="4CB8CF2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sz w:val="24"/>
          <w:szCs w:val="24"/>
          <w:lang w:val="en-US" w:eastAsia="zh-CN"/>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equalWidth="0" w:num="2">
            <w:col w:w="3940" w:space="425"/>
            <w:col w:w="3940"/>
          </w:cols>
          <w:docGrid w:type="lines" w:linePitch="312" w:charSpace="0"/>
        </w:sectPr>
      </w:pPr>
      <w:r>
        <w:rPr>
          <w:rFonts w:hint="default" w:eastAsia="仿宋" w:cs="仿宋" w:asciiTheme="minorAscii" w:hAnsiTheme="minorAscii"/>
          <w:sz w:val="24"/>
          <w:szCs w:val="24"/>
          <w:lang w:val="en-US" w:eastAsia="zh-CN"/>
        </w:rPr>
        <w:t>广东医谷</w:t>
      </w:r>
    </w:p>
    <w:p w14:paraId="08294E9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b/>
          <w:color w:val="000000" w:themeColor="text1"/>
          <w:sz w:val="24"/>
          <w:szCs w:val="24"/>
          <w:lang w:val="en-US" w:eastAsia="zh-CN"/>
          <w14:textFill>
            <w14:solidFill>
              <w14:schemeClr w14:val="tx1"/>
            </w14:solidFill>
          </w14:textFill>
        </w:rPr>
      </w:pPr>
      <w:r>
        <w:rPr>
          <w:rFonts w:hint="default" w:eastAsia="仿宋" w:cs="仿宋" w:asciiTheme="minorAscii" w:hAnsiTheme="minorAscii"/>
          <w:b/>
          <w:color w:val="000000" w:themeColor="text1"/>
          <w:sz w:val="24"/>
          <w:szCs w:val="24"/>
          <w:lang w:val="en-US" w:eastAsia="zh-CN"/>
          <w14:textFill>
            <w14:solidFill>
              <w14:schemeClr w14:val="tx1"/>
            </w14:solidFill>
          </w14:textFill>
        </w:rPr>
        <w:t>组织机构</w:t>
      </w:r>
    </w:p>
    <w:p w14:paraId="701468B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color w:val="000000" w:themeColor="text1"/>
          <w:sz w:val="24"/>
          <w:szCs w:val="24"/>
          <w:lang w:val="en-US" w:eastAsia="zh-CN"/>
          <w14:textFill>
            <w14:solidFill>
              <w14:schemeClr w14:val="tx1"/>
            </w14:solidFill>
          </w14:textFill>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AE91FB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仿宋" w:cs="仿宋" w:asciiTheme="minorAscii" w:hAnsiTheme="minorAscii"/>
          <w:color w:val="000000" w:themeColor="text1"/>
          <w:sz w:val="24"/>
          <w:szCs w:val="24"/>
          <w14:textFill>
            <w14:solidFill>
              <w14:schemeClr w14:val="tx1"/>
            </w14:solidFill>
          </w14:textFill>
        </w:rPr>
      </w:pPr>
      <w:r>
        <w:rPr>
          <w:rFonts w:hint="default" w:eastAsia="仿宋" w:cs="仿宋" w:asciiTheme="minorAscii" w:hAnsiTheme="minorAscii"/>
          <w:color w:val="000000" w:themeColor="text1"/>
          <w:sz w:val="24"/>
          <w:szCs w:val="24"/>
          <w14:textFill>
            <w14:solidFill>
              <w14:schemeClr w14:val="tx1"/>
            </w14:solidFill>
          </w14:textFill>
        </w:rPr>
        <w:t>广州振威国际展览有限公司</w:t>
      </w:r>
    </w:p>
    <w:p w14:paraId="3ED954BE">
      <w:pPr>
        <w:bidi w:val="0"/>
        <w:rPr>
          <w:rFonts w:hint="default"/>
          <w:lang w:val="en-US" w:eastAsia="zh-CN"/>
        </w:rPr>
      </w:pPr>
    </w:p>
    <w:p w14:paraId="5E5F79F1">
      <w:pPr>
        <w:bidi w:val="0"/>
        <w:rPr>
          <w:rFonts w:hint="default"/>
          <w:lang w:val="en-US" w:eastAsia="zh-CN"/>
        </w:rPr>
      </w:pPr>
    </w:p>
    <w:p w14:paraId="52FE94F2">
      <w:pPr>
        <w:jc w:val="center"/>
        <w:rPr>
          <w:rFonts w:hint="eastAsia" w:eastAsiaTheme="minorEastAsia"/>
          <w:b/>
          <w:color w:val="000000" w:themeColor="text1"/>
          <w:szCs w:val="21"/>
          <w:lang w:eastAsia="zh-CN"/>
          <w14:textFill>
            <w14:solidFill>
              <w14:schemeClr w14:val="tx1"/>
            </w14:solidFill>
          </w14:textFill>
        </w:rPr>
      </w:pPr>
      <w:r>
        <w:rPr>
          <w:rFonts w:hint="eastAsia" w:eastAsiaTheme="minorEastAsia"/>
          <w:b/>
          <w:color w:val="000000" w:themeColor="text1"/>
          <w:szCs w:val="21"/>
          <w:lang w:eastAsia="zh-CN"/>
          <w14:textFill>
            <w14:solidFill>
              <w14:schemeClr w14:val="tx1"/>
            </w14:solidFill>
          </w14:textFill>
        </w:rPr>
        <w:drawing>
          <wp:inline distT="0" distB="0" distL="114300" distR="114300">
            <wp:extent cx="935990" cy="941705"/>
            <wp:effectExtent l="0" t="0" r="8890" b="3175"/>
            <wp:docPr id="4" name="图片 4" descr="振威LOGO-2023.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振威LOGO-2023.11.02"/>
                    <pic:cNvPicPr>
                      <a:picLocks noChangeAspect="1"/>
                    </pic:cNvPicPr>
                  </pic:nvPicPr>
                  <pic:blipFill>
                    <a:blip r:embed="rId7"/>
                    <a:stretch>
                      <a:fillRect/>
                    </a:stretch>
                  </pic:blipFill>
                  <pic:spPr>
                    <a:xfrm>
                      <a:off x="0" y="0"/>
                      <a:ext cx="935990" cy="941705"/>
                    </a:xfrm>
                    <a:prstGeom prst="rect">
                      <a:avLst/>
                    </a:prstGeom>
                  </pic:spPr>
                </pic:pic>
              </a:graphicData>
            </a:graphic>
          </wp:inline>
        </w:drawing>
      </w:r>
      <w:r>
        <w:rPr>
          <w:rFonts w:hint="eastAsia"/>
          <w:b/>
          <w:color w:val="000000" w:themeColor="text1"/>
          <w:szCs w:val="21"/>
          <w:lang w:val="en-US" w:eastAsia="zh-CN"/>
          <w14:textFill>
            <w14:solidFill>
              <w14:schemeClr w14:val="tx1"/>
            </w14:solidFill>
          </w14:textFill>
        </w:rPr>
        <w:t xml:space="preserve">       </w:t>
      </w:r>
      <w:r>
        <w:rPr>
          <w:rFonts w:hint="eastAsia" w:eastAsiaTheme="minorEastAsia"/>
          <w:b/>
          <w:color w:val="000000" w:themeColor="text1"/>
          <w:szCs w:val="21"/>
          <w:lang w:eastAsia="zh-CN"/>
          <w14:textFill>
            <w14:solidFill>
              <w14:schemeClr w14:val="tx1"/>
            </w14:solidFill>
          </w14:textFill>
        </w:rPr>
        <w:drawing>
          <wp:inline distT="0" distB="0" distL="114300" distR="114300">
            <wp:extent cx="935990" cy="932815"/>
            <wp:effectExtent l="0" t="0" r="16510" b="635"/>
            <wp:docPr id="10" name="图片 10" descr="生物潮公众号二维码-5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生物潮公众号二维码-50cm"/>
                    <pic:cNvPicPr>
                      <a:picLocks noChangeAspect="1"/>
                    </pic:cNvPicPr>
                  </pic:nvPicPr>
                  <pic:blipFill>
                    <a:blip r:embed="rId8"/>
                    <a:srcRect l="3355" t="3875" r="4206" b="4064"/>
                    <a:stretch>
                      <a:fillRect/>
                    </a:stretch>
                  </pic:blipFill>
                  <pic:spPr>
                    <a:xfrm>
                      <a:off x="0" y="0"/>
                      <a:ext cx="935990" cy="932815"/>
                    </a:xfrm>
                    <a:prstGeom prst="rect">
                      <a:avLst/>
                    </a:prstGeom>
                  </pic:spPr>
                </pic:pic>
              </a:graphicData>
            </a:graphic>
          </wp:inline>
        </w:drawing>
      </w:r>
    </w:p>
    <w:p w14:paraId="569410F7">
      <w:pPr>
        <w:spacing w:line="360" w:lineRule="auto"/>
        <w:jc w:val="center"/>
        <w:rPr>
          <w:rFonts w:hint="default" w:eastAsiaTheme="minor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www.bteexpo.com</w:t>
      </w:r>
    </w:p>
    <w:p w14:paraId="7BA8B1FF">
      <w:pPr>
        <w:rPr>
          <w:rFonts w:hint="eastAsia" w:asciiTheme="majorEastAsia" w:hAnsiTheme="majorEastAsia" w:eastAsiaTheme="majorEastAsia" w:cstheme="majorEastAsia"/>
          <w:b/>
          <w:bCs/>
          <w:sz w:val="28"/>
          <w:szCs w:val="28"/>
        </w:rPr>
      </w:pPr>
      <w: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86995</wp:posOffset>
                </wp:positionV>
                <wp:extent cx="5353050" cy="0"/>
                <wp:effectExtent l="0" t="19050" r="0" b="19050"/>
                <wp:wrapNone/>
                <wp:docPr id="5" name="直接连接符 5"/>
                <wp:cNvGraphicFramePr/>
                <a:graphic xmlns:a="http://schemas.openxmlformats.org/drawingml/2006/main">
                  <a:graphicData uri="http://schemas.microsoft.com/office/word/2010/wordprocessingShape">
                    <wps:wsp>
                      <wps:cNvCnPr/>
                      <wps:spPr>
                        <a:xfrm>
                          <a:off x="1144905" y="5360035"/>
                          <a:ext cx="5353050" cy="0"/>
                        </a:xfrm>
                        <a:prstGeom prst="line">
                          <a:avLst/>
                        </a:prstGeom>
                        <a:noFill/>
                        <a:ln w="38100" cap="flat" cmpd="sng" algn="ctr">
                          <a:solidFill>
                            <a:srgbClr val="000000">
                              <a:alpha val="97000"/>
                            </a:srgbClr>
                          </a:solidFill>
                          <a:prstDash val="solid"/>
                          <a:miter lim="800000"/>
                        </a:ln>
                        <a:effectLst/>
                      </wps:spPr>
                      <wps:bodyPr/>
                    </wps:wsp>
                  </a:graphicData>
                </a:graphic>
              </wp:anchor>
            </w:drawing>
          </mc:Choice>
          <mc:Fallback>
            <w:pict>
              <v:line id="_x0000_s1026" o:spid="_x0000_s1026" o:spt="20" style="position:absolute;left:0pt;margin-left:0.15pt;margin-top:6.85pt;height:0pt;width:421.5pt;z-index:251661312;mso-width-relative:page;mso-height-relative:page;" filled="f" stroked="t" coordsize="21600,21600" o:gfxdata="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56sIzSAAAABgEAAA8AAAAAAAAAAQAgAAAAIgAAAGRycy9kb3du&#10;cmV2LnhtbFBLAQIUABQAAAAIAIdO4kAlEpzmBQIAAO0DAAAOAAAAAAAAAAEAIAAAACEBAABkcnMv&#10;ZTJvRG9jLnhtbFBLBQYAAAAABgAGAFkBAACYBQAAAAA=&#10;">
                <v:fill on="f" focussize="0,0"/>
                <v:stroke weight="3pt" color="#000000" opacity="63569f" miterlimit="8" joinstyle="miter"/>
                <v:imagedata o:title=""/>
                <o:lock v:ext="edit" aspectratio="f"/>
              </v:line>
            </w:pict>
          </mc:Fallback>
        </mc:AlternateContent>
      </w:r>
    </w:p>
    <w:p w14:paraId="04C1E73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振威国际会展集团始创于2000年，2015年11月24日在新三板挂牌上市（股票代码834316），是中国最具规模的民营展览公司，全国会展业标准化技术委员会委员单位，中国获得UFI国际展览业协会认证最多的展览组织机构，中国会展经济研究会副会长单位。据中国国际贸易促进委员会2019年权威发布的《中国展览经济发展报告（2018）》统计，振威会展办展数量在国内组展企业中位居首位。由振威国际会展集团主办的BTE国际生物技术大会经过8年的累积，在行业内享有盛名。</w:t>
      </w:r>
    </w:p>
    <w:p w14:paraId="2CD7F665">
      <w:pPr>
        <w:bidi w:val="0"/>
        <w:rPr>
          <w:rFonts w:hint="eastAsia" w:ascii="宋体" w:hAnsi="宋体" w:eastAsia="宋体" w:cs="宋体"/>
          <w:sz w:val="21"/>
          <w:szCs w:val="21"/>
          <w:lang w:val="en-US" w:eastAsia="zh-CN"/>
        </w:rPr>
      </w:pPr>
    </w:p>
    <w:p w14:paraId="7085B553">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val="en-US" w:eastAsia="zh-CN"/>
        </w:rPr>
        <w:t>BTE 2025 一年一度的国际生物技术大会</w:t>
      </w:r>
      <w:r>
        <w:rPr>
          <w:rFonts w:hint="eastAsia" w:ascii="仿宋" w:hAnsi="仿宋" w:eastAsia="仿宋" w:cs="仿宋"/>
          <w:b/>
          <w:bCs/>
          <w:sz w:val="32"/>
          <w:szCs w:val="32"/>
        </w:rPr>
        <w:t>】</w:t>
      </w:r>
    </w:p>
    <w:p w14:paraId="0D4DC0A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BTE第9届国际生物技术大会暨展览会（BTE 2025）是粤港澳大湾区一年一度的生物产业盛会，聚焦生物制药、细胞治疗、体外诊断、基因技术、医学检验等领域的前沿技术与应用，已形成规模和极大的影响力，预计将有300+国内外品牌企业、25,000+参观人次，同期将举办多场高峰论坛。</w:t>
      </w:r>
    </w:p>
    <w:p w14:paraId="2DAFC18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围绕粤港澳大湾区生物行业产业群的协同发展交流与融合致力打造一个高水平科技创新载体和平台。为加快培育生物技术领域新质生产力作出积极贡献。</w:t>
      </w:r>
    </w:p>
    <w:p w14:paraId="0DDB1312">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5260" cy="3495040"/>
            <wp:effectExtent l="0" t="0" r="2540" b="10160"/>
            <wp:docPr id="15" name="图片 15" descr="LEE_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EE_0549"/>
                    <pic:cNvPicPr>
                      <a:picLocks noChangeAspect="1"/>
                    </pic:cNvPicPr>
                  </pic:nvPicPr>
                  <pic:blipFill>
                    <a:blip r:embed="rId9"/>
                    <a:stretch>
                      <a:fillRect/>
                    </a:stretch>
                  </pic:blipFill>
                  <pic:spPr>
                    <a:xfrm>
                      <a:off x="0" y="0"/>
                      <a:ext cx="5255260" cy="3495040"/>
                    </a:xfrm>
                    <a:prstGeom prst="rect">
                      <a:avLst/>
                    </a:prstGeom>
                  </pic:spPr>
                </pic:pic>
              </a:graphicData>
            </a:graphic>
          </wp:inline>
        </w:drawing>
      </w:r>
    </w:p>
    <w:p w14:paraId="3E7350F1">
      <w:pPr>
        <w:spacing w:line="360" w:lineRule="auto"/>
        <w:rPr>
          <w:rFonts w:hint="eastAsia" w:ascii="仿宋" w:hAnsi="仿宋" w:eastAsia="仿宋" w:cs="仿宋"/>
          <w:b/>
          <w:bCs/>
          <w:sz w:val="32"/>
          <w:szCs w:val="32"/>
          <w:lang w:val="en-US" w:eastAsia="zh-CN"/>
        </w:rPr>
      </w:pPr>
    </w:p>
    <w:p w14:paraId="0C53D437">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【共创思想盛宴 同建技术载体】</w:t>
      </w:r>
    </w:p>
    <w:p w14:paraId="37D572A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BTE 2025将继续秉持“以会带展”的办展模式,着力技术应用和思想理论的高效对接，着重提高生物技术行业的创新能力和产业化水平，多个维度鼓励创新产业充分展示。同时，围绕创新药、ADC药物研发进展、重点病原体疫苗开发、细胞治疗、基因治疗、3D细胞培养与类器官、高通量测序技术、肿瘤标志物、靶向与细胞免疫治疗、分子诊断研发新进展、病原体mNGS和tNGS检测技术发展、疾病生物标志物研究进展等话题，特邀来自国家政府机构的权威人士、海内外药企与生物技术公司高管的分享政策需求、技术科研、产业规划等最新行业资讯，现诚邀您共同见证华南生物技术行业年度盛会！</w:t>
      </w:r>
    </w:p>
    <w:p w14:paraId="59C1F79A">
      <w:pPr>
        <w:bidi w:val="0"/>
        <w:rPr>
          <w:rFonts w:hint="eastAsia"/>
        </w:rPr>
      </w:pPr>
    </w:p>
    <w:p w14:paraId="62885C6B">
      <w:pPr>
        <w:spacing w:line="360" w:lineRule="auto"/>
        <w:rPr>
          <w:rFonts w:hint="eastAsia" w:ascii="仿宋" w:hAnsi="仿宋" w:eastAsia="仿宋" w:cs="仿宋"/>
          <w:b/>
          <w:bCs/>
          <w:sz w:val="32"/>
          <w:szCs w:val="32"/>
          <w:lang w:val="en-US" w:eastAsia="zh-CN"/>
        </w:rPr>
      </w:pPr>
    </w:p>
    <w:p w14:paraId="1E437990">
      <w:pPr>
        <w:spacing w:line="360" w:lineRule="auto"/>
        <w:rPr>
          <w:rFonts w:hint="eastAsia" w:ascii="仿宋" w:hAnsi="仿宋" w:eastAsia="仿宋" w:cs="仿宋"/>
          <w:b/>
          <w:bCs/>
          <w:sz w:val="32"/>
          <w:szCs w:val="32"/>
          <w:lang w:val="en-US" w:eastAsia="zh-CN"/>
        </w:rPr>
      </w:pPr>
    </w:p>
    <w:p w14:paraId="5C93C2F6">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【嘉宾采访】</w:t>
      </w:r>
    </w:p>
    <w:p w14:paraId="2B7E74AF">
      <w:pPr>
        <w:numPr>
          <w:ilvl w:val="0"/>
          <w:numId w:val="0"/>
        </w:numPr>
        <w:spacing w:line="360" w:lineRule="auto"/>
        <w:rPr>
          <w:rFonts w:hint="eastAsia" w:ascii="仿宋" w:hAnsi="仿宋" w:eastAsia="仿宋" w:cs="仿宋"/>
          <w:b/>
          <w:bCs/>
          <w:sz w:val="28"/>
          <w:szCs w:val="36"/>
          <w:lang w:val="en-US" w:eastAsia="zh-CN"/>
        </w:rPr>
      </w:pPr>
    </w:p>
    <w:p w14:paraId="7098EDDD">
      <w:pPr>
        <w:numPr>
          <w:ilvl w:val="0"/>
          <w:numId w:val="0"/>
        </w:numPr>
        <w:spacing w:line="360" w:lineRule="auto"/>
        <w:ind w:left="420" w:leftChars="0"/>
        <w:jc w:val="left"/>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drawing>
          <wp:inline distT="0" distB="0" distL="114300" distR="114300">
            <wp:extent cx="4418330" cy="2482215"/>
            <wp:effectExtent l="0" t="0" r="1270" b="13335"/>
            <wp:docPr id="11" name="图片 11" descr="李玉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李玉玲"/>
                    <pic:cNvPicPr>
                      <a:picLocks noChangeAspect="1"/>
                    </pic:cNvPicPr>
                  </pic:nvPicPr>
                  <pic:blipFill>
                    <a:blip r:embed="rId10"/>
                    <a:stretch>
                      <a:fillRect/>
                    </a:stretch>
                  </pic:blipFill>
                  <pic:spPr>
                    <a:xfrm>
                      <a:off x="0" y="0"/>
                      <a:ext cx="4418330" cy="2482215"/>
                    </a:xfrm>
                    <a:prstGeom prst="rect">
                      <a:avLst/>
                    </a:prstGeom>
                  </pic:spPr>
                </pic:pic>
              </a:graphicData>
            </a:graphic>
          </wp:inline>
        </w:drawing>
      </w:r>
    </w:p>
    <w:p w14:paraId="627F542D">
      <w:pPr>
        <w:numPr>
          <w:ilvl w:val="0"/>
          <w:numId w:val="0"/>
        </w:numPr>
        <w:spacing w:line="360" w:lineRule="auto"/>
        <w:ind w:left="420" w:leftChars="0"/>
        <w:rPr>
          <w:rFonts w:hint="eastAsia" w:ascii="仿宋" w:hAnsi="仿宋" w:eastAsia="仿宋" w:cs="仿宋"/>
          <w:b/>
          <w:bCs/>
          <w:sz w:val="28"/>
          <w:szCs w:val="36"/>
        </w:rPr>
      </w:pPr>
      <w:r>
        <w:rPr>
          <w:rFonts w:hint="eastAsia" w:ascii="仿宋" w:hAnsi="仿宋" w:eastAsia="仿宋" w:cs="仿宋"/>
          <w:b/>
          <w:bCs/>
          <w:sz w:val="28"/>
          <w:szCs w:val="36"/>
          <w:lang w:val="en-US" w:eastAsia="zh-CN"/>
        </w:rPr>
        <w:t xml:space="preserve">李玉玲博士 </w:t>
      </w:r>
      <w:r>
        <w:rPr>
          <w:rFonts w:hint="eastAsia" w:ascii="仿宋" w:hAnsi="仿宋" w:eastAsia="仿宋" w:cs="仿宋"/>
          <w:b/>
          <w:bCs/>
          <w:sz w:val="28"/>
          <w:szCs w:val="36"/>
        </w:rPr>
        <w:t>浙江健新原力制药有限公司总裁/创始人</w:t>
      </w:r>
    </w:p>
    <w:p w14:paraId="5EA2F4C2">
      <w:pPr>
        <w:numPr>
          <w:ilvl w:val="0"/>
          <w:numId w:val="0"/>
        </w:numPr>
        <w:bidi w:val="0"/>
        <w:ind w:leftChars="2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当前，全国各地政府都深刻认识到生物医药和创新药物是一个充满希望的朝阳产业。尽管市场和行业面临一些挑战，但广东省及粤港澳大湾区对生物医药创新的支持尤为突出。从人才引进、技术支持到监管指导，这些政策对于推动行业的发展至关重要。制药是一个复杂的系统工程，它需要大量的资源投入、专业人才以及先进的软硬件设施，同时也离不开严格的监管指导。我们迫切期待大湾区能够提供更多像BTE国际生物技术大会这样的交流平台。我们要赶超全球和引领行业需要非常多的交流探索、共同支持、协同成长的机会。</w:t>
      </w:r>
    </w:p>
    <w:p w14:paraId="10411608">
      <w:pPr>
        <w:numPr>
          <w:ilvl w:val="0"/>
          <w:numId w:val="0"/>
        </w:numPr>
        <w:bidi w:val="0"/>
        <w:ind w:leftChars="200"/>
        <w:rPr>
          <w:rFonts w:hint="eastAsia" w:ascii="仿宋" w:hAnsi="仿宋" w:eastAsia="仿宋" w:cs="仿宋"/>
          <w:sz w:val="24"/>
          <w:szCs w:val="32"/>
          <w:lang w:val="en-US" w:eastAsia="zh-CN"/>
        </w:rPr>
      </w:pPr>
    </w:p>
    <w:p w14:paraId="0F3B50CB">
      <w:pPr>
        <w:numPr>
          <w:ilvl w:val="0"/>
          <w:numId w:val="0"/>
        </w:numPr>
        <w:spacing w:line="360" w:lineRule="auto"/>
        <w:ind w:left="420" w:leftChars="0"/>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drawing>
          <wp:inline distT="0" distB="0" distL="114300" distR="114300">
            <wp:extent cx="4420870" cy="2485390"/>
            <wp:effectExtent l="0" t="0" r="17780" b="10160"/>
            <wp:docPr id="12" name="图片 12" descr="贝兰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贝兰伯"/>
                    <pic:cNvPicPr>
                      <a:picLocks noChangeAspect="1"/>
                    </pic:cNvPicPr>
                  </pic:nvPicPr>
                  <pic:blipFill>
                    <a:blip r:embed="rId11"/>
                    <a:stretch>
                      <a:fillRect/>
                    </a:stretch>
                  </pic:blipFill>
                  <pic:spPr>
                    <a:xfrm>
                      <a:off x="0" y="0"/>
                      <a:ext cx="4420870" cy="2485390"/>
                    </a:xfrm>
                    <a:prstGeom prst="rect">
                      <a:avLst/>
                    </a:prstGeom>
                  </pic:spPr>
                </pic:pic>
              </a:graphicData>
            </a:graphic>
          </wp:inline>
        </w:drawing>
      </w:r>
    </w:p>
    <w:p w14:paraId="4FF86815">
      <w:pPr>
        <w:numPr>
          <w:ilvl w:val="0"/>
          <w:numId w:val="0"/>
        </w:numPr>
        <w:spacing w:line="360" w:lineRule="auto"/>
        <w:ind w:left="420" w:leftChars="0"/>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 xml:space="preserve">阮建兴 </w:t>
      </w:r>
      <w:r>
        <w:rPr>
          <w:rFonts w:hint="eastAsia" w:ascii="仿宋" w:hAnsi="仿宋" w:eastAsia="仿宋" w:cs="仿宋"/>
          <w:b/>
          <w:bCs/>
          <w:sz w:val="28"/>
          <w:szCs w:val="36"/>
        </w:rPr>
        <w:t>浙江贝兰伯生物技术有限公司</w:t>
      </w:r>
      <w:r>
        <w:rPr>
          <w:rFonts w:hint="eastAsia" w:ascii="仿宋" w:hAnsi="仿宋" w:eastAsia="仿宋" w:cs="仿宋"/>
          <w:b/>
          <w:bCs/>
          <w:sz w:val="28"/>
          <w:szCs w:val="36"/>
          <w:lang w:val="en-US" w:eastAsia="zh-CN"/>
        </w:rPr>
        <w:t>营销总监</w:t>
      </w:r>
    </w:p>
    <w:p w14:paraId="522007EC">
      <w:pPr>
        <w:numPr>
          <w:ilvl w:val="0"/>
          <w:numId w:val="0"/>
        </w:numPr>
        <w:bidi w:val="0"/>
        <w:ind w:leftChars="200"/>
        <w:rPr>
          <w:rFonts w:hint="default" w:ascii="仿宋" w:hAnsi="仿宋" w:eastAsia="仿宋" w:cs="仿宋"/>
          <w:sz w:val="28"/>
          <w:szCs w:val="36"/>
          <w:lang w:val="en-US" w:eastAsia="zh-CN"/>
        </w:rPr>
      </w:pPr>
      <w:r>
        <w:rPr>
          <w:rFonts w:hint="default" w:ascii="仿宋" w:hAnsi="仿宋" w:eastAsia="仿宋" w:cs="仿宋"/>
          <w:sz w:val="28"/>
          <w:szCs w:val="36"/>
          <w:lang w:val="en-US" w:eastAsia="zh-CN"/>
        </w:rPr>
        <w:t>过去几年，我们一直积极参与BTE生物展，这个展会已经成为我们展示最新技术和产品的重要平台</w:t>
      </w:r>
      <w:r>
        <w:rPr>
          <w:rFonts w:hint="eastAsia" w:ascii="仿宋" w:hAnsi="仿宋" w:eastAsia="仿宋" w:cs="仿宋"/>
          <w:sz w:val="28"/>
          <w:szCs w:val="36"/>
          <w:lang w:val="en-US" w:eastAsia="zh-CN"/>
        </w:rPr>
        <w:t>，让</w:t>
      </w:r>
      <w:r>
        <w:rPr>
          <w:rFonts w:hint="default" w:ascii="仿宋" w:hAnsi="仿宋" w:eastAsia="仿宋" w:cs="仿宋"/>
          <w:sz w:val="28"/>
          <w:szCs w:val="36"/>
          <w:lang w:val="en-US" w:eastAsia="zh-CN"/>
        </w:rPr>
        <w:t>我们有机会与众多同行进行了深入的产品交流。在这次展会</w:t>
      </w:r>
      <w:r>
        <w:rPr>
          <w:rFonts w:hint="eastAsia" w:ascii="仿宋" w:hAnsi="仿宋" w:eastAsia="仿宋" w:cs="仿宋"/>
          <w:sz w:val="28"/>
          <w:szCs w:val="36"/>
          <w:lang w:val="en-US" w:eastAsia="zh-CN"/>
        </w:rPr>
        <w:t>来了很多行业专家，</w:t>
      </w:r>
      <w:r>
        <w:rPr>
          <w:rFonts w:hint="default" w:ascii="仿宋" w:hAnsi="仿宋" w:eastAsia="仿宋" w:cs="仿宋"/>
          <w:sz w:val="28"/>
          <w:szCs w:val="36"/>
          <w:lang w:val="en-US" w:eastAsia="zh-CN"/>
        </w:rPr>
        <w:t>作为生产厂家，我们非常重视与专家的沟通，这不仅帮助我们了解行业内的最新动态，还为我们提供了宝贵的比较和学习机会。通过这些交流，我们能够获取先进的行业信息，这对于我们的产品改进和创新至关重要。</w:t>
      </w:r>
    </w:p>
    <w:p w14:paraId="1ECC00ED">
      <w:pPr>
        <w:numPr>
          <w:ilvl w:val="0"/>
          <w:numId w:val="0"/>
        </w:numPr>
        <w:bidi w:val="0"/>
        <w:ind w:leftChars="200"/>
        <w:rPr>
          <w:rFonts w:hint="eastAsia" w:ascii="仿宋" w:hAnsi="仿宋" w:eastAsia="仿宋" w:cs="仿宋"/>
          <w:sz w:val="24"/>
          <w:szCs w:val="32"/>
          <w:lang w:val="en-US" w:eastAsia="zh-CN"/>
        </w:rPr>
      </w:pPr>
    </w:p>
    <w:p w14:paraId="016EA435">
      <w:pPr>
        <w:numPr>
          <w:ilvl w:val="0"/>
          <w:numId w:val="0"/>
        </w:numPr>
        <w:spacing w:line="360" w:lineRule="auto"/>
        <w:ind w:left="420" w:leftChars="0"/>
        <w:rPr>
          <w:rFonts w:hint="eastAsia" w:ascii="仿宋" w:hAnsi="仿宋" w:eastAsia="仿宋" w:cs="仿宋"/>
          <w:b/>
          <w:bCs/>
          <w:sz w:val="28"/>
          <w:szCs w:val="36"/>
          <w:lang w:val="en-US" w:eastAsia="zh-CN"/>
        </w:rPr>
      </w:pPr>
    </w:p>
    <w:p w14:paraId="3B9C8996">
      <w:pPr>
        <w:numPr>
          <w:ilvl w:val="0"/>
          <w:numId w:val="0"/>
        </w:numPr>
        <w:spacing w:line="360" w:lineRule="auto"/>
        <w:ind w:left="420" w:leftChars="0"/>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drawing>
          <wp:inline distT="0" distB="0" distL="114300" distR="114300">
            <wp:extent cx="4535170" cy="2548255"/>
            <wp:effectExtent l="0" t="0" r="17780" b="4445"/>
            <wp:docPr id="13" name="图片 13" descr="康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康体"/>
                    <pic:cNvPicPr>
                      <a:picLocks noChangeAspect="1"/>
                    </pic:cNvPicPr>
                  </pic:nvPicPr>
                  <pic:blipFill>
                    <a:blip r:embed="rId12"/>
                    <a:stretch>
                      <a:fillRect/>
                    </a:stretch>
                  </pic:blipFill>
                  <pic:spPr>
                    <a:xfrm>
                      <a:off x="0" y="0"/>
                      <a:ext cx="4535170" cy="2548255"/>
                    </a:xfrm>
                    <a:prstGeom prst="rect">
                      <a:avLst/>
                    </a:prstGeom>
                  </pic:spPr>
                </pic:pic>
              </a:graphicData>
            </a:graphic>
          </wp:inline>
        </w:drawing>
      </w:r>
    </w:p>
    <w:p w14:paraId="6D87B37B">
      <w:pPr>
        <w:numPr>
          <w:ilvl w:val="0"/>
          <w:numId w:val="0"/>
        </w:numPr>
        <w:spacing w:line="360" w:lineRule="auto"/>
        <w:ind w:left="420" w:leftChars="0"/>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 xml:space="preserve">王新颖 </w:t>
      </w:r>
      <w:r>
        <w:rPr>
          <w:rFonts w:hint="eastAsia" w:ascii="仿宋" w:hAnsi="仿宋" w:eastAsia="仿宋" w:cs="仿宋"/>
          <w:b/>
          <w:bCs/>
          <w:sz w:val="28"/>
          <w:szCs w:val="36"/>
        </w:rPr>
        <w:t>深圳康体生物医药科技有限公司</w:t>
      </w:r>
      <w:r>
        <w:rPr>
          <w:rFonts w:hint="eastAsia" w:ascii="仿宋" w:hAnsi="仿宋" w:eastAsia="仿宋" w:cs="仿宋"/>
          <w:b/>
          <w:bCs/>
          <w:sz w:val="28"/>
          <w:szCs w:val="36"/>
          <w:lang w:val="en-US" w:eastAsia="zh-CN"/>
        </w:rPr>
        <w:t>研发经理</w:t>
      </w:r>
    </w:p>
    <w:p w14:paraId="221B8C63">
      <w:pPr>
        <w:numPr>
          <w:ilvl w:val="0"/>
          <w:numId w:val="0"/>
        </w:numPr>
        <w:bidi w:val="0"/>
        <w:ind w:leftChars="200"/>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本届</w:t>
      </w:r>
      <w:r>
        <w:rPr>
          <w:rFonts w:hint="default" w:ascii="仿宋" w:hAnsi="仿宋" w:eastAsia="仿宋" w:cs="仿宋"/>
          <w:sz w:val="28"/>
          <w:szCs w:val="36"/>
          <w:lang w:val="en-US" w:eastAsia="zh-CN"/>
        </w:rPr>
        <w:t>展会现场人流量超出了我们的预期，众多观众对我们的产品表现出了浓厚的兴趣，我们</w:t>
      </w:r>
      <w:r>
        <w:rPr>
          <w:rFonts w:hint="eastAsia" w:ascii="仿宋" w:hAnsi="仿宋" w:eastAsia="仿宋" w:cs="仿宋"/>
          <w:sz w:val="28"/>
          <w:szCs w:val="36"/>
          <w:lang w:val="en-US" w:eastAsia="zh-CN"/>
        </w:rPr>
        <w:t>还</w:t>
      </w:r>
      <w:r>
        <w:rPr>
          <w:rFonts w:hint="default" w:ascii="仿宋" w:hAnsi="仿宋" w:eastAsia="仿宋" w:cs="仿宋"/>
          <w:sz w:val="28"/>
          <w:szCs w:val="36"/>
          <w:lang w:val="en-US" w:eastAsia="zh-CN"/>
        </w:rPr>
        <w:t>与许多熟悉的合作伙伴进行了深入的交流，同时也结识了不少新的公司和产品。这不仅提升了我们公司的知名度，也为我们提供了与同行交流的宝贵机会。我们非常重视与上下游企业的协作，这次展会无疑是建立新联系、加强旧联系的绝佳平台。</w:t>
      </w:r>
    </w:p>
    <w:p w14:paraId="6EF08E64">
      <w:pPr>
        <w:numPr>
          <w:ilvl w:val="0"/>
          <w:numId w:val="0"/>
        </w:numPr>
        <w:bidi w:val="0"/>
        <w:ind w:leftChars="200"/>
        <w:rPr>
          <w:rFonts w:hint="eastAsia" w:ascii="仿宋" w:hAnsi="仿宋" w:eastAsia="仿宋" w:cs="仿宋"/>
          <w:sz w:val="28"/>
          <w:szCs w:val="36"/>
          <w:lang w:val="en-US" w:eastAsia="zh-CN"/>
        </w:rPr>
      </w:pPr>
    </w:p>
    <w:p w14:paraId="29DFB393">
      <w:pPr>
        <w:numPr>
          <w:ilvl w:val="0"/>
          <w:numId w:val="0"/>
        </w:numPr>
        <w:spacing w:line="360" w:lineRule="auto"/>
        <w:ind w:left="420" w:leftChars="0"/>
        <w:rPr>
          <w:rFonts w:hint="eastAsia" w:ascii="仿宋" w:hAnsi="仿宋" w:eastAsia="仿宋" w:cs="仿宋"/>
          <w:b/>
          <w:bCs/>
          <w:sz w:val="28"/>
          <w:szCs w:val="36"/>
          <w:lang w:val="en-US" w:eastAsia="zh-CN"/>
        </w:rPr>
      </w:pPr>
    </w:p>
    <w:p w14:paraId="4D95A79B">
      <w:pPr>
        <w:numPr>
          <w:ilvl w:val="0"/>
          <w:numId w:val="0"/>
        </w:numPr>
        <w:spacing w:line="360" w:lineRule="auto"/>
        <w:ind w:left="420" w:leftChars="0"/>
        <w:rPr>
          <w:rFonts w:hint="eastAsia" w:ascii="仿宋" w:hAnsi="仿宋" w:eastAsia="仿宋" w:cs="仿宋"/>
          <w:b/>
          <w:bCs/>
          <w:sz w:val="28"/>
          <w:szCs w:val="36"/>
          <w:lang w:val="en-US" w:eastAsia="zh-CN"/>
        </w:rPr>
      </w:pPr>
    </w:p>
    <w:p w14:paraId="3E8CCC93">
      <w:pPr>
        <w:numPr>
          <w:ilvl w:val="0"/>
          <w:numId w:val="0"/>
        </w:numPr>
        <w:spacing w:line="360" w:lineRule="auto"/>
        <w:ind w:left="420" w:leftChars="0"/>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drawing>
          <wp:inline distT="0" distB="0" distL="114300" distR="114300">
            <wp:extent cx="3566160" cy="2498090"/>
            <wp:effectExtent l="0" t="0" r="0" b="0"/>
            <wp:docPr id="14" name="图片 14" descr="科竟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科竟达"/>
                    <pic:cNvPicPr>
                      <a:picLocks noChangeAspect="1"/>
                    </pic:cNvPicPr>
                  </pic:nvPicPr>
                  <pic:blipFill>
                    <a:blip r:embed="rId13"/>
                    <a:srcRect r="19909"/>
                    <a:stretch>
                      <a:fillRect/>
                    </a:stretch>
                  </pic:blipFill>
                  <pic:spPr>
                    <a:xfrm>
                      <a:off x="0" y="0"/>
                      <a:ext cx="3566160" cy="2498090"/>
                    </a:xfrm>
                    <a:prstGeom prst="rect">
                      <a:avLst/>
                    </a:prstGeom>
                  </pic:spPr>
                </pic:pic>
              </a:graphicData>
            </a:graphic>
          </wp:inline>
        </w:drawing>
      </w:r>
    </w:p>
    <w:p w14:paraId="1522D4E2">
      <w:pPr>
        <w:numPr>
          <w:ilvl w:val="0"/>
          <w:numId w:val="0"/>
        </w:numPr>
        <w:spacing w:line="360" w:lineRule="auto"/>
        <w:ind w:left="420" w:leftChars="0"/>
        <w:rPr>
          <w:rFonts w:hint="default" w:ascii="仿宋" w:hAnsi="仿宋" w:eastAsia="仿宋" w:cs="仿宋"/>
          <w:b/>
          <w:bCs/>
          <w:sz w:val="28"/>
          <w:szCs w:val="36"/>
          <w:lang w:val="en-US" w:eastAsia="zh-CN"/>
        </w:rPr>
      </w:pPr>
      <w:r>
        <w:rPr>
          <w:rFonts w:hint="eastAsia" w:ascii="仿宋" w:hAnsi="仿宋" w:eastAsia="仿宋" w:cs="仿宋"/>
          <w:b/>
          <w:bCs/>
          <w:sz w:val="28"/>
          <w:szCs w:val="36"/>
          <w:lang w:val="en-US" w:eastAsia="zh-CN"/>
        </w:rPr>
        <w:t xml:space="preserve">吴兆鹏 </w:t>
      </w:r>
      <w:r>
        <w:rPr>
          <w:rFonts w:hint="eastAsia" w:ascii="仿宋" w:hAnsi="仿宋" w:eastAsia="仿宋" w:cs="仿宋"/>
          <w:b/>
          <w:bCs/>
          <w:sz w:val="28"/>
          <w:szCs w:val="36"/>
        </w:rPr>
        <w:t>科竟达生物科技有限公司</w:t>
      </w:r>
      <w:r>
        <w:rPr>
          <w:rFonts w:hint="eastAsia" w:ascii="仿宋" w:hAnsi="仿宋" w:eastAsia="仿宋" w:cs="仿宋"/>
          <w:b/>
          <w:bCs/>
          <w:sz w:val="28"/>
          <w:szCs w:val="36"/>
          <w:lang w:val="en-US" w:eastAsia="zh-CN"/>
        </w:rPr>
        <w:t>CEO</w:t>
      </w:r>
    </w:p>
    <w:p w14:paraId="1B5AC6DE">
      <w:pPr>
        <w:numPr>
          <w:ilvl w:val="0"/>
          <w:numId w:val="0"/>
        </w:numPr>
        <w:bidi w:val="0"/>
        <w:ind w:leftChars="200"/>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我们是一家香港的生物科技公司，在BTE生物展上带来了我们自主研发的表面等离子共振的生物传感器，为全球首创，可以把芯片成本降低到十分之一，希望可以通过这个更低廉和精准的测量技术为广大病人造福。期望我们的产品能够获得国家NMPA的医疗器械认证，推向大众的检测市场。今年展会的氛围非常热烈，现场来了众多行业专家和同仁跟我们进行交流。我们相信，通过这样的展会，我们的产品将能够在国内得到更广泛的应用和认可。</w:t>
      </w:r>
    </w:p>
    <w:p w14:paraId="78557E9F">
      <w:pPr>
        <w:numPr>
          <w:ilvl w:val="0"/>
          <w:numId w:val="0"/>
        </w:numPr>
        <w:bidi w:val="0"/>
        <w:rPr>
          <w:rFonts w:hint="eastAsia" w:ascii="仿宋" w:hAnsi="仿宋" w:eastAsia="仿宋" w:cs="仿宋"/>
          <w:sz w:val="24"/>
          <w:szCs w:val="32"/>
          <w:lang w:val="en-US" w:eastAsia="zh-CN"/>
        </w:rPr>
      </w:pPr>
    </w:p>
    <w:p w14:paraId="19B0DE91">
      <w:pPr>
        <w:spacing w:line="360" w:lineRule="auto"/>
        <w:rPr>
          <w:rFonts w:hint="eastAsia" w:ascii="仿宋" w:hAnsi="仿宋" w:eastAsia="仿宋" w:cs="仿宋"/>
          <w:b/>
          <w:bCs/>
          <w:sz w:val="32"/>
          <w:szCs w:val="32"/>
          <w:lang w:val="en-US" w:eastAsia="zh-CN"/>
        </w:rPr>
      </w:pPr>
    </w:p>
    <w:p w14:paraId="0A42FC7C">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【参展六大理由】</w:t>
      </w:r>
    </w:p>
    <w:p w14:paraId="7CF15915">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sz w:val="28"/>
          <w:szCs w:val="28"/>
        </w:rPr>
        <w:t>· 全球视野，产业汇聚</w:t>
      </w:r>
      <w:r>
        <w:rPr>
          <w:rFonts w:hint="eastAsia" w:ascii="仿宋" w:hAnsi="仿宋" w:eastAsia="仿宋" w:cs="仿宋"/>
          <w:sz w:val="28"/>
          <w:szCs w:val="28"/>
        </w:rPr>
        <w:br w:type="textWrapping"/>
      </w:r>
      <w:r>
        <w:rPr>
          <w:rFonts w:hint="eastAsia" w:ascii="仿宋" w:hAnsi="仿宋" w:eastAsia="仿宋" w:cs="仿宋"/>
          <w:sz w:val="28"/>
          <w:szCs w:val="28"/>
        </w:rPr>
        <w:t>集结300+国内外品牌，上万种创新产品，共绘全球生物产业新蓝图</w:t>
      </w:r>
    </w:p>
    <w:p w14:paraId="3361A5BE">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sz w:val="28"/>
          <w:szCs w:val="28"/>
        </w:rPr>
        <w:br w:type="textWrapping"/>
      </w:r>
      <w:r>
        <w:rPr>
          <w:rFonts w:hint="eastAsia" w:ascii="仿宋" w:hAnsi="仿宋" w:eastAsia="仿宋" w:cs="仿宋"/>
          <w:sz w:val="28"/>
          <w:szCs w:val="28"/>
        </w:rPr>
        <w:t>· 专业采购，全链覆盖</w:t>
      </w:r>
      <w:r>
        <w:rPr>
          <w:rFonts w:hint="eastAsia" w:ascii="仿宋" w:hAnsi="仿宋" w:eastAsia="仿宋" w:cs="仿宋"/>
          <w:sz w:val="28"/>
          <w:szCs w:val="28"/>
        </w:rPr>
        <w:br w:type="textWrapping"/>
      </w:r>
      <w:r>
        <w:rPr>
          <w:rFonts w:hint="eastAsia" w:ascii="仿宋" w:hAnsi="仿宋" w:eastAsia="仿宋" w:cs="仿宋"/>
          <w:sz w:val="28"/>
          <w:szCs w:val="28"/>
        </w:rPr>
        <w:t>25,000+专业观众及采购商，构建全产业链一站式采购交流平台</w:t>
      </w:r>
    </w:p>
    <w:p w14:paraId="3A4944D1">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sz w:val="28"/>
          <w:szCs w:val="28"/>
        </w:rPr>
        <w:br w:type="textWrapping"/>
      </w:r>
      <w:r>
        <w:rPr>
          <w:rFonts w:hint="eastAsia" w:ascii="仿宋" w:hAnsi="仿宋" w:eastAsia="仿宋" w:cs="仿宋"/>
          <w:sz w:val="28"/>
          <w:szCs w:val="28"/>
        </w:rPr>
        <w:t>· 学术盛宴，趋势前瞻</w:t>
      </w:r>
      <w:r>
        <w:rPr>
          <w:rFonts w:hint="eastAsia" w:ascii="仿宋" w:hAnsi="仿宋" w:eastAsia="仿宋" w:cs="仿宋"/>
          <w:sz w:val="28"/>
          <w:szCs w:val="28"/>
        </w:rPr>
        <w:br w:type="textWrapping"/>
      </w:r>
      <w:r>
        <w:rPr>
          <w:rFonts w:hint="eastAsia" w:ascii="仿宋" w:hAnsi="仿宋" w:eastAsia="仿宋" w:cs="仿宋"/>
          <w:sz w:val="28"/>
          <w:szCs w:val="28"/>
        </w:rPr>
        <w:t>130+专家大咖齐聚，60+专题论坛，洞察行业趋势，挖掘无限商机</w:t>
      </w:r>
      <w:r>
        <w:rPr>
          <w:rFonts w:hint="eastAsia" w:ascii="仿宋" w:hAnsi="仿宋" w:eastAsia="仿宋" w:cs="仿宋"/>
          <w:sz w:val="28"/>
          <w:szCs w:val="28"/>
        </w:rPr>
        <w:br w:type="textWrapping"/>
      </w:r>
    </w:p>
    <w:p w14:paraId="4C046154">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sz w:val="28"/>
          <w:szCs w:val="28"/>
        </w:rPr>
        <w:t>· 决策集中，高效合作</w:t>
      </w:r>
      <w:r>
        <w:rPr>
          <w:rFonts w:hint="eastAsia" w:ascii="仿宋" w:hAnsi="仿宋" w:eastAsia="仿宋" w:cs="仿宋"/>
          <w:sz w:val="28"/>
          <w:szCs w:val="28"/>
        </w:rPr>
        <w:br w:type="textWrapping"/>
      </w:r>
      <w:r>
        <w:rPr>
          <w:rFonts w:hint="eastAsia" w:ascii="仿宋" w:hAnsi="仿宋" w:eastAsia="仿宋" w:cs="仿宋"/>
          <w:sz w:val="28"/>
          <w:szCs w:val="28"/>
        </w:rPr>
        <w:t>生物</w:t>
      </w:r>
      <w:r>
        <w:rPr>
          <w:rFonts w:hint="eastAsia" w:ascii="仿宋" w:hAnsi="仿宋" w:eastAsia="仿宋" w:cs="仿宋"/>
          <w:sz w:val="28"/>
          <w:szCs w:val="28"/>
          <w:lang w:val="en-US" w:eastAsia="zh-CN"/>
        </w:rPr>
        <w:t>技术</w:t>
      </w:r>
      <w:r>
        <w:rPr>
          <w:rFonts w:hint="eastAsia" w:ascii="仿宋" w:hAnsi="仿宋" w:eastAsia="仿宋" w:cs="仿宋"/>
          <w:sz w:val="28"/>
          <w:szCs w:val="28"/>
        </w:rPr>
        <w:t>行业决策者高度集中，为参展商提供面对面地高效交流</w:t>
      </w:r>
    </w:p>
    <w:p w14:paraId="37322CF1">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sz w:val="28"/>
          <w:szCs w:val="28"/>
        </w:rPr>
        <w:br w:type="textWrapping"/>
      </w:r>
      <w:r>
        <w:rPr>
          <w:rFonts w:hint="eastAsia" w:ascii="仿宋" w:hAnsi="仿宋" w:eastAsia="仿宋" w:cs="仿宋"/>
          <w:sz w:val="28"/>
          <w:szCs w:val="28"/>
        </w:rPr>
        <w:t>· </w:t>
      </w:r>
      <w:r>
        <w:rPr>
          <w:rFonts w:hint="eastAsia" w:ascii="仿宋" w:hAnsi="仿宋" w:eastAsia="仿宋" w:cs="仿宋"/>
          <w:sz w:val="28"/>
          <w:szCs w:val="28"/>
          <w:lang w:val="en-US" w:eastAsia="zh-CN"/>
        </w:rPr>
        <w:t>媒体矩阵 曝光无限</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集结国内外上千家媒体全方位覆盖，为参展效果提质增效</w:t>
      </w:r>
    </w:p>
    <w:p w14:paraId="4FD850F0">
      <w:pPr>
        <w:keepNext w:val="0"/>
        <w:keepLines w:val="0"/>
        <w:widowControl/>
        <w:suppressLineNumbers w:val="0"/>
        <w:jc w:val="left"/>
        <w:rPr>
          <w:rFonts w:hint="eastAsia" w:ascii="仿宋" w:hAnsi="仿宋" w:eastAsia="仿宋" w:cs="仿宋"/>
          <w:b/>
          <w:bCs/>
          <w:sz w:val="32"/>
          <w:szCs w:val="32"/>
          <w:lang w:val="en-US" w:eastAsia="zh-CN"/>
        </w:rPr>
      </w:pPr>
      <w:r>
        <w:rPr>
          <w:rFonts w:hint="eastAsia" w:ascii="仿宋" w:hAnsi="仿宋" w:eastAsia="仿宋" w:cs="仿宋"/>
          <w:sz w:val="28"/>
          <w:szCs w:val="28"/>
        </w:rPr>
        <w:br w:type="textWrapping"/>
      </w:r>
      <w:r>
        <w:rPr>
          <w:rFonts w:hint="eastAsia" w:ascii="仿宋" w:hAnsi="仿宋" w:eastAsia="仿宋" w:cs="仿宋"/>
          <w:sz w:val="28"/>
          <w:szCs w:val="28"/>
        </w:rPr>
        <w:t>· 丰富经验，实力保障</w:t>
      </w:r>
      <w:r>
        <w:rPr>
          <w:rFonts w:hint="eastAsia" w:ascii="仿宋" w:hAnsi="仿宋" w:eastAsia="仿宋" w:cs="仿宋"/>
          <w:sz w:val="28"/>
          <w:szCs w:val="28"/>
        </w:rPr>
        <w:br w:type="textWrapping"/>
      </w:r>
      <w:r>
        <w:rPr>
          <w:rFonts w:hint="eastAsia" w:ascii="仿宋" w:hAnsi="仿宋" w:eastAsia="仿宋" w:cs="仿宋"/>
          <w:sz w:val="28"/>
          <w:szCs w:val="28"/>
        </w:rPr>
        <w:t>百场专业会展经验，全球会展综合服务商，振威国际会展集团实力护航</w:t>
      </w:r>
    </w:p>
    <w:p w14:paraId="21DFF69A">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6530" cy="3495040"/>
            <wp:effectExtent l="0" t="0" r="1270" b="10160"/>
            <wp:docPr id="16" name="图片 16" descr="LEE_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EE_0470"/>
                    <pic:cNvPicPr>
                      <a:picLocks noChangeAspect="1"/>
                    </pic:cNvPicPr>
                  </pic:nvPicPr>
                  <pic:blipFill>
                    <a:blip r:embed="rId14"/>
                    <a:stretch>
                      <a:fillRect/>
                    </a:stretch>
                  </pic:blipFill>
                  <pic:spPr>
                    <a:xfrm>
                      <a:off x="0" y="0"/>
                      <a:ext cx="5256530" cy="3495040"/>
                    </a:xfrm>
                    <a:prstGeom prst="rect">
                      <a:avLst/>
                    </a:prstGeom>
                  </pic:spPr>
                </pic:pic>
              </a:graphicData>
            </a:graphic>
          </wp:inline>
        </w:drawing>
      </w:r>
    </w:p>
    <w:p w14:paraId="0F774787">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6530" cy="3497580"/>
            <wp:effectExtent l="0" t="0" r="1270" b="7620"/>
            <wp:docPr id="17" name="图片 17" descr="LEE_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EE_0535"/>
                    <pic:cNvPicPr>
                      <a:picLocks noChangeAspect="1"/>
                    </pic:cNvPicPr>
                  </pic:nvPicPr>
                  <pic:blipFill>
                    <a:blip r:embed="rId15"/>
                    <a:stretch>
                      <a:fillRect/>
                    </a:stretch>
                  </pic:blipFill>
                  <pic:spPr>
                    <a:xfrm>
                      <a:off x="0" y="0"/>
                      <a:ext cx="5256530" cy="3497580"/>
                    </a:xfrm>
                    <a:prstGeom prst="rect">
                      <a:avLst/>
                    </a:prstGeom>
                  </pic:spPr>
                </pic:pic>
              </a:graphicData>
            </a:graphic>
          </wp:inline>
        </w:drawing>
      </w:r>
    </w:p>
    <w:p w14:paraId="1D1AB0FD">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5260" cy="3495040"/>
            <wp:effectExtent l="0" t="0" r="2540" b="10160"/>
            <wp:docPr id="19" name="图片 19" descr="LEE_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LEE_0876"/>
                    <pic:cNvPicPr>
                      <a:picLocks noChangeAspect="1"/>
                    </pic:cNvPicPr>
                  </pic:nvPicPr>
                  <pic:blipFill>
                    <a:blip r:embed="rId16"/>
                    <a:stretch>
                      <a:fillRect/>
                    </a:stretch>
                  </pic:blipFill>
                  <pic:spPr>
                    <a:xfrm>
                      <a:off x="0" y="0"/>
                      <a:ext cx="5255260" cy="3495040"/>
                    </a:xfrm>
                    <a:prstGeom prst="rect">
                      <a:avLst/>
                    </a:prstGeom>
                  </pic:spPr>
                </pic:pic>
              </a:graphicData>
            </a:graphic>
          </wp:inline>
        </w:drawing>
      </w:r>
    </w:p>
    <w:p w14:paraId="0B9B975E">
      <w:pPr>
        <w:keepNext w:val="0"/>
        <w:keepLines w:val="0"/>
        <w:widowControl/>
        <w:suppressLineNumbers w:val="0"/>
        <w:jc w:val="left"/>
        <w:rPr>
          <w:rFonts w:hint="eastAsia" w:ascii="仿宋" w:hAnsi="仿宋" w:eastAsia="仿宋" w:cs="仿宋"/>
          <w:b/>
          <w:bCs/>
          <w:sz w:val="32"/>
          <w:szCs w:val="32"/>
          <w:lang w:val="en-US" w:eastAsia="zh-CN"/>
        </w:rPr>
      </w:pPr>
    </w:p>
    <w:p w14:paraId="6F9D0973">
      <w:pPr>
        <w:keepNext w:val="0"/>
        <w:keepLines w:val="0"/>
        <w:widowControl/>
        <w:suppressLineNumbers w:val="0"/>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【拟邀请出席的外国驻总领事馆官员名单（部分）】</w:t>
      </w:r>
    </w:p>
    <w:p w14:paraId="4B89016F">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231815"/>
          <w:kern w:val="0"/>
          <w:sz w:val="28"/>
          <w:szCs w:val="28"/>
          <w:lang w:val="en-US" w:eastAsia="zh-CN" w:bidi="ar"/>
        </w:rPr>
        <w:t xml:space="preserve">阿根廷驻广州总领事时美善及随行人员 </w:t>
      </w:r>
    </w:p>
    <w:p w14:paraId="1E89A18B">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231815"/>
          <w:kern w:val="0"/>
          <w:sz w:val="28"/>
          <w:szCs w:val="28"/>
          <w:lang w:val="en-US" w:eastAsia="zh-CN" w:bidi="ar"/>
        </w:rPr>
        <w:t xml:space="preserve">澳大利亚驻广州总领事康天慕及随行人员 </w:t>
      </w:r>
    </w:p>
    <w:p w14:paraId="7DD3426B">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231815"/>
          <w:kern w:val="0"/>
          <w:sz w:val="28"/>
          <w:szCs w:val="28"/>
          <w:lang w:val="en-US" w:eastAsia="zh-CN" w:bidi="ar"/>
        </w:rPr>
        <w:t xml:space="preserve">比利时驻广州总领事馆总领事裴伟岷及随行人员 </w:t>
      </w:r>
    </w:p>
    <w:p w14:paraId="75CAD41B">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231815"/>
          <w:kern w:val="0"/>
          <w:sz w:val="28"/>
          <w:szCs w:val="28"/>
          <w:lang w:val="en-US" w:eastAsia="zh-CN" w:bidi="ar"/>
        </w:rPr>
        <w:t xml:space="preserve">白俄罗斯驻广州总领事安德烈·波波夫及随行人员 </w:t>
      </w:r>
    </w:p>
    <w:p w14:paraId="72AB0C94">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231815"/>
          <w:kern w:val="0"/>
          <w:sz w:val="28"/>
          <w:szCs w:val="28"/>
          <w:lang w:val="en-US" w:eastAsia="zh-CN" w:bidi="ar"/>
        </w:rPr>
        <w:t xml:space="preserve">巴西驻广州总领事艾伦·科埃略·德塞洛斯及随行人员 </w:t>
      </w:r>
    </w:p>
    <w:p w14:paraId="0EBE69C9">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231815"/>
          <w:kern w:val="0"/>
          <w:sz w:val="28"/>
          <w:szCs w:val="28"/>
          <w:lang w:val="en-US" w:eastAsia="zh-CN" w:bidi="ar"/>
        </w:rPr>
        <w:t>加拿大驻广州总领事贝加德及随行人员</w:t>
      </w:r>
    </w:p>
    <w:p w14:paraId="303F04CA">
      <w:pPr>
        <w:keepNext w:val="0"/>
        <w:keepLines w:val="0"/>
        <w:widowControl/>
        <w:suppressLineNumbers w:val="0"/>
        <w:jc w:val="left"/>
        <w:rPr>
          <w:rFonts w:hint="eastAsia" w:ascii="仿宋" w:hAnsi="仿宋" w:eastAsia="仿宋" w:cs="仿宋"/>
          <w:color w:val="231815"/>
          <w:kern w:val="0"/>
          <w:sz w:val="28"/>
          <w:szCs w:val="28"/>
          <w:lang w:val="en-US" w:eastAsia="zh-CN" w:bidi="ar"/>
        </w:rPr>
      </w:pPr>
      <w:r>
        <w:rPr>
          <w:rFonts w:hint="eastAsia" w:ascii="仿宋" w:hAnsi="仿宋" w:eastAsia="仿宋" w:cs="仿宋"/>
          <w:color w:val="231815"/>
          <w:kern w:val="0"/>
          <w:sz w:val="28"/>
          <w:szCs w:val="28"/>
          <w:lang w:val="en-US" w:eastAsia="zh-CN" w:bidi="ar"/>
        </w:rPr>
        <w:t xml:space="preserve">乌拉圭驻华大使费尔南多·卢格里斯及随行人员 </w:t>
      </w:r>
    </w:p>
    <w:p w14:paraId="19CEC536">
      <w:pPr>
        <w:keepNext w:val="0"/>
        <w:keepLines w:val="0"/>
        <w:widowControl/>
        <w:suppressLineNumbers w:val="0"/>
        <w:jc w:val="left"/>
        <w:rPr>
          <w:rFonts w:hint="eastAsia" w:ascii="仿宋" w:hAnsi="仿宋" w:eastAsia="仿宋" w:cs="仿宋"/>
          <w:color w:val="231815"/>
          <w:kern w:val="0"/>
          <w:sz w:val="28"/>
          <w:szCs w:val="28"/>
          <w:lang w:val="en-US" w:eastAsia="zh-CN" w:bidi="ar"/>
        </w:rPr>
      </w:pPr>
      <w:r>
        <w:rPr>
          <w:rFonts w:hint="eastAsia" w:ascii="仿宋" w:hAnsi="仿宋" w:eastAsia="仿宋" w:cs="仿宋"/>
          <w:color w:val="231815"/>
          <w:kern w:val="0"/>
          <w:sz w:val="28"/>
          <w:szCs w:val="28"/>
          <w:lang w:val="en-US" w:eastAsia="zh-CN" w:bidi="ar"/>
        </w:rPr>
        <w:t xml:space="preserve">乌兹别克斯坦共和国驻华大使法尔霍德·阿尔济耶夫及随行人员 </w:t>
      </w:r>
    </w:p>
    <w:p w14:paraId="4EFD0776">
      <w:pPr>
        <w:keepNext w:val="0"/>
        <w:keepLines w:val="0"/>
        <w:widowControl/>
        <w:suppressLineNumbers w:val="0"/>
        <w:jc w:val="left"/>
        <w:rPr>
          <w:rFonts w:hint="eastAsia" w:ascii="仿宋" w:hAnsi="仿宋" w:eastAsia="仿宋" w:cs="仿宋"/>
          <w:color w:val="231815"/>
          <w:kern w:val="0"/>
          <w:sz w:val="28"/>
          <w:szCs w:val="28"/>
          <w:lang w:val="en-US" w:eastAsia="zh-CN" w:bidi="ar"/>
        </w:rPr>
      </w:pPr>
      <w:r>
        <w:rPr>
          <w:rFonts w:hint="eastAsia" w:ascii="仿宋" w:hAnsi="仿宋" w:eastAsia="仿宋" w:cs="仿宋"/>
          <w:color w:val="231815"/>
          <w:kern w:val="0"/>
          <w:sz w:val="28"/>
          <w:szCs w:val="28"/>
          <w:lang w:val="en-US" w:eastAsia="zh-CN" w:bidi="ar"/>
        </w:rPr>
        <w:t xml:space="preserve">阿拉伯联合酋长国驻华大使馆商务参赞 阿卜杜拉及随行人员 </w:t>
      </w:r>
    </w:p>
    <w:p w14:paraId="4FE0BC94">
      <w:pPr>
        <w:keepNext w:val="0"/>
        <w:keepLines w:val="0"/>
        <w:widowControl/>
        <w:suppressLineNumbers w:val="0"/>
        <w:jc w:val="left"/>
        <w:rPr>
          <w:rFonts w:hint="eastAsia" w:ascii="仿宋" w:hAnsi="仿宋" w:eastAsia="仿宋" w:cs="仿宋"/>
          <w:color w:val="231815"/>
          <w:kern w:val="0"/>
          <w:sz w:val="28"/>
          <w:szCs w:val="28"/>
          <w:lang w:val="en-US" w:eastAsia="zh-CN" w:bidi="ar"/>
        </w:rPr>
      </w:pPr>
      <w:r>
        <w:rPr>
          <w:rFonts w:hint="eastAsia" w:ascii="仿宋" w:hAnsi="仿宋" w:eastAsia="仿宋" w:cs="仿宋"/>
          <w:color w:val="231815"/>
          <w:kern w:val="0"/>
          <w:sz w:val="28"/>
          <w:szCs w:val="28"/>
          <w:lang w:val="en-US" w:eastAsia="zh-CN" w:bidi="ar"/>
        </w:rPr>
        <w:t xml:space="preserve">比利时驻华大使馆公共外交参赞冯云汉及随行人员 </w:t>
      </w:r>
    </w:p>
    <w:p w14:paraId="0503637E">
      <w:pPr>
        <w:keepNext w:val="0"/>
        <w:keepLines w:val="0"/>
        <w:widowControl/>
        <w:suppressLineNumbers w:val="0"/>
        <w:jc w:val="left"/>
        <w:rPr>
          <w:rFonts w:hint="eastAsia" w:ascii="仿宋" w:hAnsi="仿宋" w:eastAsia="仿宋" w:cs="仿宋"/>
          <w:color w:val="231815"/>
          <w:kern w:val="0"/>
          <w:sz w:val="28"/>
          <w:szCs w:val="28"/>
          <w:lang w:val="en-US" w:eastAsia="zh-CN" w:bidi="ar"/>
        </w:rPr>
      </w:pPr>
      <w:r>
        <w:rPr>
          <w:rFonts w:hint="eastAsia" w:ascii="仿宋" w:hAnsi="仿宋" w:eastAsia="仿宋" w:cs="仿宋"/>
          <w:color w:val="231815"/>
          <w:kern w:val="0"/>
          <w:sz w:val="28"/>
          <w:szCs w:val="28"/>
          <w:lang w:val="en-US" w:eastAsia="zh-CN" w:bidi="ar"/>
        </w:rPr>
        <w:t xml:space="preserve">法国驻华大使馆参赞及随行人员 </w:t>
      </w:r>
    </w:p>
    <w:p w14:paraId="233A69AE">
      <w:pPr>
        <w:keepNext w:val="0"/>
        <w:keepLines w:val="0"/>
        <w:widowControl/>
        <w:suppressLineNumbers w:val="0"/>
        <w:jc w:val="left"/>
        <w:rPr>
          <w:rFonts w:hint="eastAsia" w:ascii="仿宋" w:hAnsi="仿宋" w:eastAsia="仿宋" w:cs="仿宋"/>
          <w:color w:val="231815"/>
          <w:kern w:val="0"/>
          <w:sz w:val="28"/>
          <w:szCs w:val="28"/>
          <w:lang w:val="en-US" w:eastAsia="zh-CN" w:bidi="ar"/>
        </w:rPr>
      </w:pPr>
      <w:r>
        <w:rPr>
          <w:rFonts w:hint="eastAsia" w:ascii="仿宋" w:hAnsi="仿宋" w:eastAsia="仿宋" w:cs="仿宋"/>
          <w:color w:val="231815"/>
          <w:kern w:val="0"/>
          <w:sz w:val="28"/>
          <w:szCs w:val="28"/>
          <w:lang w:val="en-US" w:eastAsia="zh-CN" w:bidi="ar"/>
        </w:rPr>
        <w:t>荷兰驻华大使馆大使昊使博及随行人员</w:t>
      </w:r>
    </w:p>
    <w:p w14:paraId="30813486">
      <w:pPr>
        <w:spacing w:line="360" w:lineRule="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w:t>
      </w:r>
    </w:p>
    <w:p w14:paraId="2D48BF17">
      <w:pPr>
        <w:spacing w:line="360" w:lineRule="auto"/>
        <w:rPr>
          <w:rFonts w:hint="default" w:ascii="仿宋" w:hAnsi="仿宋" w:eastAsia="仿宋" w:cs="仿宋"/>
          <w:b w:val="0"/>
          <w:bCs w:val="0"/>
          <w:sz w:val="28"/>
          <w:szCs w:val="28"/>
          <w:lang w:val="en-US" w:eastAsia="zh-CN"/>
        </w:rPr>
      </w:pPr>
    </w:p>
    <w:p w14:paraId="1627C6B1">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7800" cy="3497580"/>
            <wp:effectExtent l="0" t="0" r="0" b="7620"/>
            <wp:docPr id="20" name="图片 20" descr="LEE_1340-opq330822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LEE_1340-opq3308222083"/>
                    <pic:cNvPicPr>
                      <a:picLocks noChangeAspect="1"/>
                    </pic:cNvPicPr>
                  </pic:nvPicPr>
                  <pic:blipFill>
                    <a:blip r:embed="rId17"/>
                    <a:stretch>
                      <a:fillRect/>
                    </a:stretch>
                  </pic:blipFill>
                  <pic:spPr>
                    <a:xfrm>
                      <a:off x="0" y="0"/>
                      <a:ext cx="5257800" cy="3497580"/>
                    </a:xfrm>
                    <a:prstGeom prst="rect">
                      <a:avLst/>
                    </a:prstGeom>
                  </pic:spPr>
                </pic:pic>
              </a:graphicData>
            </a:graphic>
          </wp:inline>
        </w:drawing>
      </w:r>
    </w:p>
    <w:p w14:paraId="30A93E0E">
      <w:pPr>
        <w:spacing w:line="360" w:lineRule="auto"/>
        <w:rPr>
          <w:rFonts w:hint="eastAsia" w:ascii="仿宋" w:hAnsi="仿宋" w:eastAsia="仿宋" w:cs="仿宋"/>
          <w:b/>
          <w:bCs/>
          <w:sz w:val="32"/>
          <w:szCs w:val="32"/>
          <w:lang w:val="en-US" w:eastAsia="zh-CN"/>
        </w:rPr>
      </w:pPr>
    </w:p>
    <w:p w14:paraId="46486DE8">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0180" cy="3495040"/>
            <wp:effectExtent l="0" t="0" r="7620" b="10160"/>
            <wp:docPr id="21" name="图片 21" descr="LEE_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EE_0624"/>
                    <pic:cNvPicPr>
                      <a:picLocks noChangeAspect="1"/>
                    </pic:cNvPicPr>
                  </pic:nvPicPr>
                  <pic:blipFill>
                    <a:blip r:embed="rId18"/>
                    <a:stretch>
                      <a:fillRect/>
                    </a:stretch>
                  </pic:blipFill>
                  <pic:spPr>
                    <a:xfrm>
                      <a:off x="0" y="0"/>
                      <a:ext cx="5250180" cy="3495040"/>
                    </a:xfrm>
                    <a:prstGeom prst="rect">
                      <a:avLst/>
                    </a:prstGeom>
                  </pic:spPr>
                </pic:pic>
              </a:graphicData>
            </a:graphic>
          </wp:inline>
        </w:drawing>
      </w:r>
    </w:p>
    <w:p w14:paraId="75C14BB6">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3990" cy="3495040"/>
            <wp:effectExtent l="0" t="0" r="3810" b="10160"/>
            <wp:docPr id="22" name="图片 22" descr="LEE_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EE_1452"/>
                    <pic:cNvPicPr>
                      <a:picLocks noChangeAspect="1"/>
                    </pic:cNvPicPr>
                  </pic:nvPicPr>
                  <pic:blipFill>
                    <a:blip r:embed="rId19"/>
                    <a:stretch>
                      <a:fillRect/>
                    </a:stretch>
                  </pic:blipFill>
                  <pic:spPr>
                    <a:xfrm>
                      <a:off x="0" y="0"/>
                      <a:ext cx="5253990" cy="3495040"/>
                    </a:xfrm>
                    <a:prstGeom prst="rect">
                      <a:avLst/>
                    </a:prstGeom>
                  </pic:spPr>
                </pic:pic>
              </a:graphicData>
            </a:graphic>
          </wp:inline>
        </w:drawing>
      </w:r>
    </w:p>
    <w:p w14:paraId="5B0447D9">
      <w:pPr>
        <w:spacing w:line="360" w:lineRule="auto"/>
        <w:rPr>
          <w:rFonts w:hint="eastAsia" w:ascii="仿宋" w:hAnsi="仿宋" w:eastAsia="仿宋" w:cs="仿宋"/>
          <w:b/>
          <w:bCs/>
          <w:sz w:val="32"/>
          <w:szCs w:val="32"/>
          <w:lang w:val="en-US" w:eastAsia="zh-CN"/>
        </w:rPr>
      </w:pPr>
    </w:p>
    <w:p w14:paraId="4099542A">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【往届部分观众名单】</w:t>
      </w:r>
    </w:p>
    <w:p w14:paraId="0614403B">
      <w:pPr>
        <w:numPr>
          <w:ilvl w:val="0"/>
          <w:numId w:val="0"/>
        </w:numPr>
        <w:bidi w:val="0"/>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医院</w:t>
      </w:r>
    </w:p>
    <w:p w14:paraId="0483A2B9">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221815"/>
          <w:kern w:val="0"/>
          <w:sz w:val="24"/>
          <w:szCs w:val="24"/>
          <w:lang w:val="en-US" w:eastAsia="zh-CN" w:bidi="ar"/>
        </w:rPr>
        <w:t>中山大学附属肿瘤医院、南方医科大学附属医院、暨南大学附属第一医院、广州市第一人民医院、佛山市第四人民医院、广东药科大学附属第一医院、浙江省台州医院、深圳市坪山区人民医院、安徽济民肿瘤医院、曲靖市第一人民医院、北京大学首钢医院、长沙市中心医院、甘肃省人民医院、湖南省肿瘤医院、河南省肿瘤医院、湖南省人民医院、浙江省肿瘤医院、武汉市中医医院、中国医学科学院肿瘤医院、中南大学湘雅医院 ......</w:t>
      </w:r>
    </w:p>
    <w:p w14:paraId="38FF48F5">
      <w:pPr>
        <w:spacing w:line="360" w:lineRule="auto"/>
        <w:rPr>
          <w:rFonts w:hint="eastAsia" w:ascii="仿宋" w:hAnsi="仿宋" w:eastAsia="仿宋" w:cs="仿宋"/>
          <w:b/>
          <w:bCs/>
          <w:sz w:val="24"/>
          <w:szCs w:val="24"/>
          <w:lang w:val="en-US" w:eastAsia="zh-CN"/>
        </w:rPr>
      </w:pPr>
    </w:p>
    <w:p w14:paraId="4E19A653">
      <w:pPr>
        <w:keepNext w:val="0"/>
        <w:keepLines w:val="0"/>
        <w:widowControl/>
        <w:suppressLineNumbers w:val="0"/>
        <w:jc w:val="left"/>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药企/药厂</w:t>
      </w:r>
    </w:p>
    <w:p w14:paraId="20E52B73">
      <w:pPr>
        <w:keepNext w:val="0"/>
        <w:keepLines w:val="0"/>
        <w:widowControl/>
        <w:suppressLineNumbers w:val="0"/>
        <w:jc w:val="left"/>
        <w:rPr>
          <w:rFonts w:hint="eastAsia" w:ascii="仿宋" w:hAnsi="仿宋" w:eastAsia="仿宋" w:cs="仿宋"/>
          <w:color w:val="221815"/>
          <w:kern w:val="0"/>
          <w:sz w:val="24"/>
          <w:szCs w:val="24"/>
          <w:lang w:val="en-US" w:eastAsia="zh-CN" w:bidi="ar"/>
        </w:rPr>
      </w:pPr>
      <w:r>
        <w:rPr>
          <w:rFonts w:hint="eastAsia" w:ascii="仿宋" w:hAnsi="仿宋" w:eastAsia="仿宋" w:cs="仿宋"/>
          <w:color w:val="221815"/>
          <w:kern w:val="0"/>
          <w:sz w:val="24"/>
          <w:szCs w:val="24"/>
          <w:lang w:val="en-US" w:eastAsia="zh-CN" w:bidi="ar"/>
        </w:rPr>
        <w:t>广药集团、百济神州、安必平、东阳光药业、香雪制药、北京昭衍新药、圣</w:t>
      </w:r>
      <w:r>
        <w:rPr>
          <w:rFonts w:hint="default" w:ascii="仿宋" w:hAnsi="仿宋" w:eastAsia="仿宋" w:cs="仿宋"/>
          <w:color w:val="221815"/>
          <w:kern w:val="0"/>
          <w:sz w:val="24"/>
          <w:szCs w:val="24"/>
          <w:lang w:val="en-US" w:eastAsia="zh-CN" w:bidi="ar"/>
        </w:rPr>
        <w:t>湘生物、南京药石、科济生物、天士力医药集团、浙江九洲药业、上海药明康德、上海市君实、凯莱英医药集团、和元生物、山东步长制药、贝达药业、云南沃森、北京天坛生物、长春金赛药业、万泰生物、重庆智飞、华兰生物、四川科伦药业、贵州益佰制药、永泰生物、杭州泰格、荣昌制药股份有限公司、上药康德乐、南京医药股份、瑞康医药集团、华北制药......</w:t>
      </w:r>
    </w:p>
    <w:p w14:paraId="1D396C7F">
      <w:pPr>
        <w:keepNext w:val="0"/>
        <w:keepLines w:val="0"/>
        <w:widowControl/>
        <w:suppressLineNumbers w:val="0"/>
        <w:jc w:val="left"/>
        <w:rPr>
          <w:rFonts w:hint="eastAsia" w:ascii="仿宋" w:hAnsi="仿宋" w:eastAsia="仿宋" w:cs="仿宋"/>
          <w:b/>
          <w:bCs/>
          <w:sz w:val="24"/>
          <w:szCs w:val="24"/>
          <w:lang w:val="en-US" w:eastAsia="zh-CN"/>
        </w:rPr>
      </w:pPr>
    </w:p>
    <w:p w14:paraId="16AD22C0">
      <w:pPr>
        <w:keepNext w:val="0"/>
        <w:keepLines w:val="0"/>
        <w:widowControl/>
        <w:suppressLineNumbers w:val="0"/>
        <w:jc w:val="left"/>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科研院所/检验机构</w:t>
      </w:r>
    </w:p>
    <w:p w14:paraId="7BD6BCD8">
      <w:pPr>
        <w:keepNext w:val="0"/>
        <w:keepLines w:val="0"/>
        <w:widowControl/>
        <w:suppressLineNumbers w:val="0"/>
        <w:jc w:val="left"/>
        <w:rPr>
          <w:rFonts w:hint="default" w:ascii="仿宋" w:hAnsi="仿宋" w:eastAsia="仿宋" w:cs="仿宋"/>
          <w:color w:val="221815"/>
          <w:kern w:val="0"/>
          <w:sz w:val="24"/>
          <w:szCs w:val="24"/>
          <w:lang w:val="en-US" w:eastAsia="zh-CN" w:bidi="ar"/>
        </w:rPr>
      </w:pPr>
      <w:r>
        <w:rPr>
          <w:rFonts w:hint="default" w:ascii="仿宋" w:hAnsi="仿宋" w:eastAsia="仿宋" w:cs="仿宋"/>
          <w:color w:val="221815"/>
          <w:kern w:val="0"/>
          <w:sz w:val="24"/>
          <w:szCs w:val="24"/>
          <w:lang w:val="en-US" w:eastAsia="zh-CN" w:bidi="ar"/>
        </w:rPr>
        <w:t>尼日利亚疾控中心、南非艾滋病防治规划研究中心、卢旺达法医研究所、纳米比亚科技大学、贝宁病毒出血热实验室、马拉维公共卫生研究所、坦桑尼亚国家公共卫生实验室、埃塞俄比亚公共卫生研究所、塞拉利昂中心公共卫生参比实验室、卢旺达生物医学中心国家参比实验室、白俄罗斯国家科学院有机化学研究所、白俄罗斯生物物理学与细胞工程学研究所、中国科学院广州生物医药与健康研究院、广东省科学院生物医药研究所......</w:t>
      </w:r>
    </w:p>
    <w:p w14:paraId="65B4B734">
      <w:pPr>
        <w:keepNext w:val="0"/>
        <w:keepLines w:val="0"/>
        <w:widowControl/>
        <w:suppressLineNumbers w:val="0"/>
        <w:jc w:val="left"/>
        <w:rPr>
          <w:rFonts w:hint="default" w:ascii="仿宋" w:hAnsi="仿宋" w:eastAsia="仿宋" w:cs="仿宋"/>
          <w:color w:val="221815"/>
          <w:kern w:val="0"/>
          <w:sz w:val="24"/>
          <w:szCs w:val="24"/>
          <w:lang w:val="en-US" w:eastAsia="zh-CN" w:bidi="ar"/>
        </w:rPr>
      </w:pPr>
    </w:p>
    <w:p w14:paraId="163B64D0">
      <w:pPr>
        <w:keepNext w:val="0"/>
        <w:keepLines w:val="0"/>
        <w:widowControl/>
        <w:suppressLineNumbers w:val="0"/>
        <w:jc w:val="left"/>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高等院校</w:t>
      </w:r>
    </w:p>
    <w:p w14:paraId="582946FF">
      <w:pPr>
        <w:keepNext w:val="0"/>
        <w:keepLines w:val="0"/>
        <w:widowControl/>
        <w:suppressLineNumbers w:val="0"/>
        <w:jc w:val="left"/>
        <w:rPr>
          <w:rFonts w:hint="default" w:ascii="仿宋" w:hAnsi="仿宋" w:eastAsia="仿宋" w:cs="仿宋"/>
          <w:color w:val="221815"/>
          <w:kern w:val="0"/>
          <w:sz w:val="24"/>
          <w:szCs w:val="24"/>
          <w:lang w:val="en-US" w:eastAsia="zh-CN" w:bidi="ar"/>
        </w:rPr>
      </w:pPr>
      <w:r>
        <w:rPr>
          <w:rFonts w:hint="default" w:ascii="仿宋" w:hAnsi="仿宋" w:eastAsia="仿宋" w:cs="仿宋"/>
          <w:color w:val="221815"/>
          <w:kern w:val="0"/>
          <w:sz w:val="24"/>
          <w:szCs w:val="24"/>
          <w:lang w:val="en-US" w:eastAsia="zh-CN" w:bidi="ar"/>
        </w:rPr>
        <w:t>北京大学、北京大学药学院药物化学系、清华大学、北京工业大学、北京理工大学、北京理工大学珠海学院、大连理工大学、复旦大学、广东工业大学、广东轻工职业技术学院、广东省大湾区华南理工大学、广东药科大学、广东以色列理工学院、广州大学、广州医科大学、华南理工大学、华南农业大学、华南师范大学、华中科技大学、吉林大学、暨南大学、南方科技大学、南方医科大学、南京大学、南开大学、南洋理工大学、厦门大学......</w:t>
      </w:r>
    </w:p>
    <w:p w14:paraId="0E7C78BD">
      <w:pPr>
        <w:keepNext w:val="0"/>
        <w:keepLines w:val="0"/>
        <w:widowControl/>
        <w:suppressLineNumbers w:val="0"/>
        <w:jc w:val="left"/>
        <w:rPr>
          <w:rFonts w:hint="default" w:ascii="仿宋" w:hAnsi="仿宋" w:eastAsia="仿宋" w:cs="仿宋"/>
          <w:color w:val="221815"/>
          <w:kern w:val="0"/>
          <w:sz w:val="24"/>
          <w:szCs w:val="24"/>
          <w:lang w:val="en-US" w:eastAsia="zh-CN" w:bidi="ar"/>
        </w:rPr>
      </w:pPr>
    </w:p>
    <w:p w14:paraId="6792E3A4">
      <w:pPr>
        <w:keepNext w:val="0"/>
        <w:keepLines w:val="0"/>
        <w:widowControl/>
        <w:suppressLineNumbers w:val="0"/>
        <w:jc w:val="left"/>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政府采购机构</w:t>
      </w:r>
    </w:p>
    <w:p w14:paraId="24CFF84A">
      <w:pPr>
        <w:keepNext w:val="0"/>
        <w:keepLines w:val="0"/>
        <w:widowControl/>
        <w:suppressLineNumbers w:val="0"/>
        <w:jc w:val="left"/>
        <w:rPr>
          <w:rFonts w:hint="default" w:ascii="仿宋" w:hAnsi="仿宋" w:eastAsia="仿宋" w:cs="仿宋"/>
          <w:color w:val="221815"/>
          <w:kern w:val="0"/>
          <w:sz w:val="24"/>
          <w:szCs w:val="24"/>
          <w:lang w:val="en-US" w:eastAsia="zh-CN" w:bidi="ar"/>
        </w:rPr>
      </w:pPr>
      <w:r>
        <w:rPr>
          <w:rFonts w:hint="default" w:ascii="仿宋" w:hAnsi="仿宋" w:eastAsia="仿宋" w:cs="仿宋"/>
          <w:color w:val="221815"/>
          <w:kern w:val="0"/>
          <w:sz w:val="24"/>
          <w:szCs w:val="24"/>
          <w:lang w:val="en-US" w:eastAsia="zh-CN" w:bidi="ar"/>
        </w:rPr>
        <w:t>科技部等八部委、广东省人民政府、深圳市人民政府、北京市发展和改革委员会、北京市科委、中关村管委会、北京市经济和信息化局、天津市科学技术局、山东省发展和改革委员会、山东省科学技术厅、四川省发展和改革委员会、四川省科学技术厅、浙江省科学技术厅、江苏省科学技术厅、湖北省科学技术厅、深圳市坪山区、江苏新沂经济开发区、珠海市金湾区、宜昌高新区、湖北孝感高新区、云梦经济开发区管委会、成都市温江区......</w:t>
      </w:r>
    </w:p>
    <w:p w14:paraId="2A6098E2">
      <w:pPr>
        <w:keepNext w:val="0"/>
        <w:keepLines w:val="0"/>
        <w:widowControl/>
        <w:suppressLineNumbers w:val="0"/>
        <w:jc w:val="left"/>
        <w:rPr>
          <w:rFonts w:hint="default" w:ascii="仿宋" w:hAnsi="仿宋" w:eastAsia="仿宋" w:cs="仿宋"/>
          <w:color w:val="221815"/>
          <w:kern w:val="0"/>
          <w:sz w:val="24"/>
          <w:szCs w:val="24"/>
          <w:lang w:val="en-US" w:eastAsia="zh-CN" w:bidi="ar"/>
        </w:rPr>
      </w:pPr>
    </w:p>
    <w:p w14:paraId="36BFF809">
      <w:pPr>
        <w:keepNext w:val="0"/>
        <w:keepLines w:val="0"/>
        <w:widowControl/>
        <w:suppressLineNumbers w:val="0"/>
        <w:jc w:val="left"/>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健康服务提供商/平台</w:t>
      </w:r>
    </w:p>
    <w:p w14:paraId="585221BA">
      <w:pPr>
        <w:keepNext w:val="0"/>
        <w:keepLines w:val="0"/>
        <w:widowControl/>
        <w:suppressLineNumbers w:val="0"/>
        <w:jc w:val="left"/>
        <w:rPr>
          <w:rFonts w:hint="default" w:ascii="仿宋" w:hAnsi="仿宋" w:eastAsia="仿宋" w:cs="仿宋"/>
          <w:color w:val="221815"/>
          <w:kern w:val="0"/>
          <w:sz w:val="24"/>
          <w:szCs w:val="24"/>
          <w:lang w:val="en-US" w:eastAsia="zh-CN" w:bidi="ar"/>
        </w:rPr>
      </w:pPr>
      <w:r>
        <w:rPr>
          <w:rFonts w:hint="default" w:ascii="仿宋" w:hAnsi="仿宋" w:eastAsia="仿宋" w:cs="仿宋"/>
          <w:color w:val="221815"/>
          <w:kern w:val="0"/>
          <w:sz w:val="24"/>
          <w:szCs w:val="24"/>
          <w:lang w:val="en-US" w:eastAsia="zh-CN" w:bidi="ar"/>
        </w:rPr>
        <w:t>阿里健康、京东健康、全亿健康产业集团、南京江北新区生物医药公共服务平台、慈铭健康体检管理集团有限公司、北京优联美汇健康管理中心有限公司、安徽佳慈健康管理有限公司、北京美兆健康体检中心有限公司、美年大健康产业股份有限公司、华康健康产业股份有限公司、杭州艾博健康科技股份有限公司、慈铭健康体检管理集团有限公司、水发盛世康养管理咨询有限公司、新华卓越健康投资管理有限公司......</w:t>
      </w:r>
    </w:p>
    <w:p w14:paraId="4B7E0F73">
      <w:pPr>
        <w:spacing w:line="360" w:lineRule="auto"/>
        <w:rPr>
          <w:rFonts w:hint="eastAsia" w:ascii="仿宋" w:hAnsi="仿宋" w:eastAsia="仿宋" w:cs="仿宋"/>
          <w:b/>
          <w:bCs/>
          <w:sz w:val="32"/>
          <w:szCs w:val="32"/>
          <w:lang w:val="en-US" w:eastAsia="zh-CN"/>
        </w:rPr>
      </w:pPr>
    </w:p>
    <w:p w14:paraId="4A64BF0B">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【同期论坛】</w:t>
      </w:r>
    </w:p>
    <w:p w14:paraId="1DC79D24">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3990" cy="2910840"/>
            <wp:effectExtent l="0" t="0" r="0" b="0"/>
            <wp:docPr id="23" name="图片 23" descr="SHUI8835-opq330899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HUI8835-opq3308997756"/>
                    <pic:cNvPicPr>
                      <a:picLocks noChangeAspect="1"/>
                    </pic:cNvPicPr>
                  </pic:nvPicPr>
                  <pic:blipFill>
                    <a:blip r:embed="rId20"/>
                    <a:srcRect t="16911"/>
                    <a:stretch>
                      <a:fillRect/>
                    </a:stretch>
                  </pic:blipFill>
                  <pic:spPr>
                    <a:xfrm>
                      <a:off x="0" y="0"/>
                      <a:ext cx="5253990" cy="2910840"/>
                    </a:xfrm>
                    <a:prstGeom prst="rect">
                      <a:avLst/>
                    </a:prstGeom>
                  </pic:spPr>
                </pic:pic>
              </a:graphicData>
            </a:graphic>
          </wp:inline>
        </w:drawing>
      </w:r>
    </w:p>
    <w:p w14:paraId="26A19DF7">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70500" cy="3507740"/>
            <wp:effectExtent l="0" t="0" r="6350" b="16510"/>
            <wp:docPr id="24" name="图片 24" descr="DSC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SC00877"/>
                    <pic:cNvPicPr>
                      <a:picLocks noChangeAspect="1"/>
                    </pic:cNvPicPr>
                  </pic:nvPicPr>
                  <pic:blipFill>
                    <a:blip r:embed="rId21"/>
                    <a:stretch>
                      <a:fillRect/>
                    </a:stretch>
                  </pic:blipFill>
                  <pic:spPr>
                    <a:xfrm>
                      <a:off x="0" y="0"/>
                      <a:ext cx="5270500" cy="3507740"/>
                    </a:xfrm>
                    <a:prstGeom prst="rect">
                      <a:avLst/>
                    </a:prstGeom>
                  </pic:spPr>
                </pic:pic>
              </a:graphicData>
            </a:graphic>
          </wp:inline>
        </w:drawing>
      </w:r>
    </w:p>
    <w:p w14:paraId="7C86C6C9">
      <w:pPr>
        <w:numPr>
          <w:ilvl w:val="0"/>
          <w:numId w:val="0"/>
        </w:numPr>
        <w:spacing w:line="360" w:lineRule="auto"/>
        <w:rPr>
          <w:rFonts w:hint="eastAsia" w:ascii="仿宋" w:hAnsi="仿宋" w:eastAsia="仿宋" w:cs="仿宋"/>
          <w:b w:val="0"/>
          <w:bCs w:val="0"/>
          <w:sz w:val="28"/>
          <w:szCs w:val="36"/>
        </w:rPr>
      </w:pPr>
    </w:p>
    <w:p w14:paraId="48EA692F">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rPr>
        <w:t>分子诊断和伴随诊断高峰论坛</w:t>
      </w:r>
    </w:p>
    <w:p w14:paraId="619040E9">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创新生物药</w:t>
      </w:r>
      <w:r>
        <w:rPr>
          <w:rFonts w:hint="eastAsia" w:ascii="仿宋" w:hAnsi="仿宋" w:eastAsia="仿宋" w:cs="仿宋"/>
          <w:b w:val="0"/>
          <w:bCs w:val="0"/>
          <w:sz w:val="28"/>
          <w:szCs w:val="36"/>
        </w:rPr>
        <w:t>与细胞</w:t>
      </w:r>
      <w:r>
        <w:rPr>
          <w:rFonts w:hint="eastAsia" w:ascii="仿宋" w:hAnsi="仿宋" w:eastAsia="仿宋" w:cs="仿宋"/>
          <w:b w:val="0"/>
          <w:bCs w:val="0"/>
          <w:sz w:val="28"/>
          <w:szCs w:val="36"/>
          <w:lang w:val="en-US" w:eastAsia="zh-CN"/>
        </w:rPr>
        <w:t>治疗进展</w:t>
      </w:r>
      <w:r>
        <w:rPr>
          <w:rFonts w:hint="eastAsia" w:ascii="仿宋" w:hAnsi="仿宋" w:eastAsia="仿宋" w:cs="仿宋"/>
          <w:b w:val="0"/>
          <w:bCs w:val="0"/>
          <w:sz w:val="28"/>
          <w:szCs w:val="36"/>
        </w:rPr>
        <w:t>论坛</w:t>
      </w:r>
    </w:p>
    <w:p w14:paraId="6C18EB7A">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rPr>
        <w:t>抗体药物与新药研发创新论坛</w:t>
      </w:r>
    </w:p>
    <w:p w14:paraId="3D8E9A90">
      <w:pPr>
        <w:numPr>
          <w:ilvl w:val="0"/>
          <w:numId w:val="0"/>
        </w:numPr>
        <w:spacing w:line="360" w:lineRule="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基因测序应用发展论坛</w:t>
      </w:r>
    </w:p>
    <w:p w14:paraId="3BDA65AF">
      <w:pPr>
        <w:numPr>
          <w:ilvl w:val="0"/>
          <w:numId w:val="0"/>
        </w:numPr>
        <w:spacing w:line="360" w:lineRule="auto"/>
        <w:rPr>
          <w:rFonts w:hint="eastAsia" w:ascii="仿宋" w:hAnsi="仿宋" w:eastAsia="仿宋" w:cs="仿宋"/>
          <w:b w:val="0"/>
          <w:bCs w:val="0"/>
          <w:sz w:val="28"/>
          <w:szCs w:val="36"/>
          <w:highlight w:val="none"/>
          <w:lang w:val="en-US" w:eastAsia="zh-CN"/>
        </w:rPr>
      </w:pPr>
      <w:r>
        <w:rPr>
          <w:rFonts w:hint="eastAsia" w:ascii="仿宋" w:hAnsi="仿宋" w:eastAsia="仿宋" w:cs="仿宋"/>
          <w:b w:val="0"/>
          <w:bCs w:val="0"/>
          <w:sz w:val="28"/>
          <w:szCs w:val="36"/>
          <w:highlight w:val="none"/>
          <w:lang w:val="en-US" w:eastAsia="zh-CN"/>
        </w:rPr>
        <w:t>AI赋能医药创新论坛</w:t>
      </w:r>
    </w:p>
    <w:p w14:paraId="2D0DA4B8">
      <w:pPr>
        <w:numPr>
          <w:ilvl w:val="0"/>
          <w:numId w:val="0"/>
        </w:numPr>
        <w:spacing w:line="360" w:lineRule="auto"/>
        <w:rPr>
          <w:rFonts w:hint="eastAsia" w:ascii="仿宋" w:hAnsi="仿宋" w:eastAsia="仿宋" w:cs="仿宋"/>
          <w:b w:val="0"/>
          <w:bCs w:val="0"/>
          <w:sz w:val="28"/>
          <w:szCs w:val="36"/>
          <w:highlight w:val="none"/>
          <w:lang w:val="en-US" w:eastAsia="zh-CN"/>
        </w:rPr>
      </w:pPr>
      <w:r>
        <w:rPr>
          <w:rFonts w:hint="eastAsia" w:ascii="仿宋" w:hAnsi="仿宋" w:eastAsia="仿宋" w:cs="仿宋"/>
          <w:b w:val="0"/>
          <w:bCs w:val="0"/>
          <w:sz w:val="28"/>
          <w:szCs w:val="36"/>
          <w:highlight w:val="none"/>
          <w:lang w:val="en-US" w:eastAsia="zh-CN"/>
        </w:rPr>
        <w:t>合成生物学解决方案峰会</w:t>
      </w:r>
    </w:p>
    <w:p w14:paraId="1DC3FC64">
      <w:pPr>
        <w:numPr>
          <w:ilvl w:val="0"/>
          <w:numId w:val="0"/>
        </w:numPr>
        <w:spacing w:line="360" w:lineRule="auto"/>
        <w:rPr>
          <w:rFonts w:hint="eastAsia" w:ascii="仿宋" w:hAnsi="仿宋" w:eastAsia="仿宋" w:cs="仿宋"/>
          <w:b w:val="0"/>
          <w:bCs w:val="0"/>
          <w:sz w:val="28"/>
          <w:szCs w:val="36"/>
          <w:highlight w:val="none"/>
          <w:lang w:val="en-US" w:eastAsia="zh-CN"/>
        </w:rPr>
      </w:pPr>
      <w:r>
        <w:rPr>
          <w:rFonts w:hint="eastAsia" w:ascii="仿宋" w:hAnsi="仿宋" w:eastAsia="仿宋" w:cs="仿宋"/>
          <w:b w:val="0"/>
          <w:bCs w:val="0"/>
          <w:sz w:val="28"/>
          <w:szCs w:val="36"/>
          <w:highlight w:val="none"/>
          <w:lang w:val="en-US" w:eastAsia="zh-CN"/>
        </w:rPr>
        <w:t>微生物发酵工艺流程研讨会</w:t>
      </w:r>
    </w:p>
    <w:p w14:paraId="1E98DA2D">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新型疫苗及生物制品发展论坛 </w:t>
      </w:r>
    </w:p>
    <w:p w14:paraId="5362CFE1">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CGT 颠覆性技术创新论坛 </w:t>
      </w:r>
    </w:p>
    <w:p w14:paraId="484E468F">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细胞冻存前沿技术论坛 </w:t>
      </w:r>
    </w:p>
    <w:p w14:paraId="0100189E">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免疫治疗与精准医学论坛 </w:t>
      </w:r>
    </w:p>
    <w:p w14:paraId="2349DE41">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类器官与模式动物应用论坛 </w:t>
      </w:r>
    </w:p>
    <w:p w14:paraId="6E1944A5">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未来生命科学实验室论坛 </w:t>
      </w:r>
    </w:p>
    <w:p w14:paraId="7F9B9937">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细胞制备与载体技术论坛 </w:t>
      </w:r>
    </w:p>
    <w:p w14:paraId="1AD27D66">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中国医院高质量发展大会 </w:t>
      </w:r>
    </w:p>
    <w:p w14:paraId="5F69CA8C">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全球生物科技医药高峰论坛 </w:t>
      </w:r>
    </w:p>
    <w:p w14:paraId="4B844A04">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世界数字医疗发展大会 </w:t>
      </w:r>
    </w:p>
    <w:p w14:paraId="207366CC">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 xml:space="preserve">数字医疗技术成果对接交流专场 </w:t>
      </w:r>
    </w:p>
    <w:p w14:paraId="2BF75DF7">
      <w:pPr>
        <w:numPr>
          <w:ilvl w:val="0"/>
          <w:numId w:val="0"/>
        </w:numPr>
        <w:spacing w:line="360" w:lineRule="auto"/>
        <w:rPr>
          <w:rFonts w:hint="eastAsia" w:ascii="仿宋" w:hAnsi="仿宋" w:eastAsia="仿宋" w:cs="仿宋"/>
          <w:b w:val="0"/>
          <w:bCs w:val="0"/>
          <w:sz w:val="28"/>
          <w:szCs w:val="36"/>
        </w:rPr>
      </w:pPr>
      <w:r>
        <w:rPr>
          <w:rFonts w:hint="eastAsia" w:ascii="仿宋" w:hAnsi="仿宋" w:eastAsia="仿宋" w:cs="仿宋"/>
          <w:b w:val="0"/>
          <w:bCs w:val="0"/>
          <w:sz w:val="28"/>
          <w:szCs w:val="36"/>
          <w:lang w:val="en-US" w:eastAsia="zh-CN"/>
        </w:rPr>
        <w:t>医学人工智能创新论坛</w:t>
      </w:r>
    </w:p>
    <w:p w14:paraId="6D2DF069">
      <w:pPr>
        <w:spacing w:line="360" w:lineRule="auto"/>
        <w:rPr>
          <w:rFonts w:hint="eastAsia" w:ascii="仿宋" w:hAnsi="仿宋" w:eastAsia="仿宋" w:cs="仿宋"/>
          <w:b/>
          <w:bCs/>
          <w:sz w:val="32"/>
          <w:szCs w:val="32"/>
          <w:lang w:val="en-US" w:eastAsia="zh-CN"/>
        </w:rPr>
      </w:pPr>
    </w:p>
    <w:p w14:paraId="01F7A7F8">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【展示内容】</w:t>
      </w:r>
    </w:p>
    <w:p w14:paraId="4A5D3AF4">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rPr>
        <w:t>实验室</w:t>
      </w:r>
      <w:r>
        <w:rPr>
          <w:rFonts w:hint="eastAsia" w:ascii="仿宋" w:hAnsi="仿宋" w:eastAsia="仿宋" w:cs="仿宋"/>
          <w:b/>
          <w:bCs/>
          <w:sz w:val="28"/>
          <w:szCs w:val="36"/>
          <w:lang w:val="en-US" w:eastAsia="zh-CN"/>
        </w:rPr>
        <w:t>技术及设备</w:t>
      </w:r>
    </w:p>
    <w:p w14:paraId="5EC88E5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36"/>
        </w:rPr>
      </w:pPr>
      <w:r>
        <w:rPr>
          <w:rFonts w:hint="eastAsia" w:ascii="仿宋" w:hAnsi="仿宋" w:eastAsia="仿宋" w:cs="仿宋"/>
          <w:sz w:val="28"/>
          <w:szCs w:val="36"/>
        </w:rPr>
        <w:t>细胞培养系统、生化分析仪器、生物成像系统、生物芯片、HPLC、分离纯化系统、试剂、配件及耗材、实验室信息管理系统、GLP/GMP、消毒及洁净室设备等。</w:t>
      </w:r>
    </w:p>
    <w:p w14:paraId="33305F5F">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sz w:val="28"/>
          <w:szCs w:val="36"/>
        </w:rPr>
      </w:pPr>
      <w:r>
        <w:rPr>
          <w:rFonts w:hint="eastAsia" w:ascii="仿宋" w:hAnsi="仿宋" w:eastAsia="仿宋" w:cs="仿宋"/>
          <w:b/>
          <w:bCs/>
          <w:sz w:val="28"/>
          <w:szCs w:val="36"/>
        </w:rPr>
        <w:t>生物技术服务</w:t>
      </w:r>
    </w:p>
    <w:p w14:paraId="378F4B3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基因检测、干细胞技术、微生物学、分子生物学、细胞生物学服务、生物芯片服务、CRO/CMO、技术培训服务、免疫学服务、人员配备服务、蛋白质组学与代谢组学、生物技术平台服务、 检测服务、生物信息学服务、药物研发及生产服务 、临床研究服务等。</w:t>
      </w:r>
    </w:p>
    <w:p w14:paraId="20312A34">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sz w:val="28"/>
          <w:szCs w:val="36"/>
        </w:rPr>
      </w:pPr>
      <w:r>
        <w:rPr>
          <w:rFonts w:hint="eastAsia" w:ascii="仿宋" w:hAnsi="仿宋" w:eastAsia="仿宋" w:cs="仿宋"/>
          <w:b/>
          <w:bCs/>
          <w:sz w:val="28"/>
          <w:szCs w:val="36"/>
        </w:rPr>
        <w:t>工程技术装备</w:t>
      </w:r>
    </w:p>
    <w:p w14:paraId="6DE0ECC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36"/>
        </w:rPr>
      </w:pPr>
      <w:r>
        <w:rPr>
          <w:rFonts w:hint="eastAsia" w:ascii="仿宋" w:hAnsi="仿宋" w:eastAsia="仿宋" w:cs="仿宋"/>
          <w:sz w:val="28"/>
          <w:szCs w:val="36"/>
        </w:rPr>
        <w:t>发酵罐、细胞反应器、细胞培养设备、糖化设备、分离过滤、萃取提纯、仪器仪表及工业自动化设备、卫生级流体设备、环保技术及装备等。</w:t>
      </w:r>
    </w:p>
    <w:p w14:paraId="1B72C80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sz w:val="28"/>
          <w:szCs w:val="36"/>
        </w:rPr>
      </w:pPr>
      <w:r>
        <w:rPr>
          <w:rFonts w:hint="eastAsia" w:ascii="仿宋" w:hAnsi="仿宋" w:eastAsia="仿宋" w:cs="仿宋"/>
          <w:b/>
          <w:bCs/>
          <w:sz w:val="28"/>
          <w:szCs w:val="36"/>
        </w:rPr>
        <w:t>生物制</w:t>
      </w:r>
      <w:r>
        <w:rPr>
          <w:rFonts w:hint="eastAsia" w:ascii="仿宋" w:hAnsi="仿宋" w:eastAsia="仿宋" w:cs="仿宋"/>
          <w:b/>
          <w:bCs/>
          <w:sz w:val="28"/>
          <w:szCs w:val="36"/>
          <w:lang w:val="en-US" w:eastAsia="zh-CN"/>
        </w:rPr>
        <w:t>品与新兴疗法</w:t>
      </w:r>
    </w:p>
    <w:p w14:paraId="0219B9E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重组蛋白、多肽、核酸、疫苗、血液制品、治疗性抗体、细胞与基因治疗、肿瘤免疫治疗、干细胞&amp;iPS、生物制药原料、原料药、酶、辅助材料、添加剂、稳定剂、测试套件等。</w:t>
      </w:r>
    </w:p>
    <w:p w14:paraId="2E85D843">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sz w:val="28"/>
          <w:szCs w:val="36"/>
        </w:rPr>
      </w:pPr>
      <w:r>
        <w:rPr>
          <w:rFonts w:hint="eastAsia" w:ascii="仿宋" w:hAnsi="仿宋" w:eastAsia="仿宋" w:cs="仿宋"/>
          <w:b/>
          <w:bCs/>
          <w:sz w:val="28"/>
          <w:szCs w:val="36"/>
        </w:rPr>
        <w:t>医学检验及IVD</w:t>
      </w:r>
    </w:p>
    <w:p w14:paraId="7FAD63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36"/>
        </w:rPr>
      </w:pPr>
      <w:r>
        <w:rPr>
          <w:rFonts w:hint="eastAsia" w:ascii="仿宋" w:hAnsi="仿宋" w:eastAsia="仿宋" w:cs="仿宋"/>
          <w:sz w:val="28"/>
          <w:szCs w:val="36"/>
        </w:rPr>
        <w:t>生化诊断、免疫诊断、分子诊断、微生物诊断、尿液诊断、细胞学诊断以及POCT等领域的诊断仪器、诊断试剂、辅助器械及用品等。</w:t>
      </w:r>
    </w:p>
    <w:p w14:paraId="4D9BBF53">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sz w:val="28"/>
          <w:szCs w:val="36"/>
        </w:rPr>
      </w:pPr>
      <w:r>
        <w:rPr>
          <w:rFonts w:hint="eastAsia" w:ascii="仿宋" w:hAnsi="仿宋" w:eastAsia="仿宋" w:cs="仿宋"/>
          <w:b/>
          <w:bCs/>
          <w:sz w:val="28"/>
          <w:szCs w:val="36"/>
        </w:rPr>
        <w:t>质量控制及安全</w:t>
      </w:r>
    </w:p>
    <w:p w14:paraId="378B7DD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36"/>
        </w:rPr>
      </w:pPr>
      <w:r>
        <w:rPr>
          <w:rFonts w:hint="eastAsia" w:ascii="仿宋" w:hAnsi="仿宋" w:eastAsia="仿宋" w:cs="仿宋"/>
          <w:sz w:val="28"/>
          <w:szCs w:val="36"/>
        </w:rPr>
        <w:t>质量管理分析、粒子测量设备、综合评估系统、糖链/碳水化合物分析系统、粘度计、稳定性评估设备、氨基酸分析系统等。</w:t>
      </w:r>
    </w:p>
    <w:p w14:paraId="18ECC03F">
      <w:pPr>
        <w:keepNext w:val="0"/>
        <w:keepLines w:val="0"/>
        <w:pageBreakBefore w:val="0"/>
        <w:widowControl w:val="0"/>
        <w:kinsoku/>
        <w:wordWrap/>
        <w:overflowPunct/>
        <w:topLinePunct w:val="0"/>
        <w:autoSpaceDE/>
        <w:autoSpaceDN/>
        <w:bidi w:val="0"/>
        <w:adjustRightInd/>
        <w:snapToGrid/>
        <w:spacing w:line="240" w:lineRule="auto"/>
        <w:textAlignment w:val="auto"/>
      </w:pPr>
    </w:p>
    <w:p w14:paraId="2CB1A8D3">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rFonts w:hint="eastAsia" w:ascii="仿宋" w:hAnsi="仿宋" w:eastAsia="仿宋" w:cs="仿宋"/>
          <w:b/>
          <w:bCs/>
          <w:sz w:val="28"/>
          <w:szCs w:val="36"/>
        </w:rPr>
      </w:pPr>
      <w:bookmarkStart w:id="0" w:name="_GoBack"/>
      <w:bookmarkEnd w:id="0"/>
      <w:r>
        <w:rPr>
          <w:rFonts w:hint="eastAsia" w:ascii="仿宋" w:hAnsi="仿宋" w:eastAsia="仿宋" w:cs="仿宋"/>
          <w:b/>
          <w:bCs/>
          <w:sz w:val="28"/>
          <w:szCs w:val="36"/>
          <w:lang w:val="en-US" w:eastAsia="zh-CN"/>
        </w:rPr>
        <w:t>科研成果转化</w:t>
      </w:r>
    </w:p>
    <w:p w14:paraId="40BAED01">
      <w:pPr>
        <w:spacing w:line="360" w:lineRule="auto"/>
        <w:rPr>
          <w:rFonts w:hint="eastAsia" w:ascii="仿宋" w:hAnsi="仿宋" w:eastAsia="仿宋" w:cs="仿宋"/>
          <w:b/>
          <w:bCs/>
          <w:sz w:val="32"/>
          <w:szCs w:val="32"/>
          <w:lang w:val="en-US" w:eastAsia="zh-CN"/>
        </w:rPr>
      </w:pPr>
    </w:p>
    <w:p w14:paraId="30305591">
      <w:pPr>
        <w:spacing w:line="360" w:lineRule="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【联系方式】</w:t>
      </w:r>
    </w:p>
    <w:p w14:paraId="7BE69C84">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BTE国际生物技术大会组委会</w:t>
      </w:r>
    </w:p>
    <w:p w14:paraId="6FD868E7">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广州市海珠区新港东路2433号凤浦科技广场405室</w:t>
      </w:r>
    </w:p>
    <w:p w14:paraId="30B2196A">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电  话：</w:t>
      </w:r>
    </w:p>
    <w:p w14:paraId="6F294E6F">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钟小姐 020-8395 3283</w:t>
      </w:r>
    </w:p>
    <w:p w14:paraId="36677B8D">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 xml:space="preserve">梁先生 13434157071       </w:t>
      </w:r>
    </w:p>
    <w:p w14:paraId="0CB56ED5">
      <w:pPr>
        <w:rPr>
          <w:rFonts w:hint="eastAsia" w:ascii="仿宋" w:hAnsi="仿宋" w:eastAsia="仿宋" w:cs="仿宋"/>
          <w:sz w:val="28"/>
          <w:szCs w:val="36"/>
          <w:lang w:val="en-US" w:eastAsia="zh-CN"/>
        </w:rPr>
      </w:pPr>
      <w:r>
        <w:rPr>
          <w:rFonts w:hint="eastAsia" w:ascii="仿宋" w:hAnsi="仿宋" w:eastAsia="仿宋" w:cs="仿宋"/>
          <w:b/>
          <w:bCs/>
          <w:sz w:val="32"/>
          <w:szCs w:val="32"/>
          <w:lang w:val="en-US" w:eastAsia="zh-CN"/>
        </w:rPr>
        <w:drawing>
          <wp:anchor distT="0" distB="0" distL="114300" distR="114300" simplePos="0" relativeHeight="251662336" behindDoc="0" locked="0" layoutInCell="1" allowOverlap="1">
            <wp:simplePos x="0" y="0"/>
            <wp:positionH relativeFrom="column">
              <wp:posOffset>3742055</wp:posOffset>
            </wp:positionH>
            <wp:positionV relativeFrom="paragraph">
              <wp:posOffset>5080</wp:posOffset>
            </wp:positionV>
            <wp:extent cx="1310640" cy="1310640"/>
            <wp:effectExtent l="0" t="0" r="0" b="0"/>
            <wp:wrapNone/>
            <wp:docPr id="3" name="图片 3" descr="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众号二维码"/>
                    <pic:cNvPicPr>
                      <a:picLocks noChangeAspect="1"/>
                    </pic:cNvPicPr>
                  </pic:nvPicPr>
                  <pic:blipFill>
                    <a:blip r:embed="rId22"/>
                    <a:stretch>
                      <a:fillRect/>
                    </a:stretch>
                  </pic:blipFill>
                  <pic:spPr>
                    <a:xfrm>
                      <a:off x="0" y="0"/>
                      <a:ext cx="1310640" cy="1310640"/>
                    </a:xfrm>
                    <a:prstGeom prst="rect">
                      <a:avLst/>
                    </a:prstGeom>
                  </pic:spPr>
                </pic:pic>
              </a:graphicData>
            </a:graphic>
          </wp:anchor>
        </w:drawing>
      </w:r>
      <w:r>
        <w:rPr>
          <w:rFonts w:hint="eastAsia" w:ascii="仿宋" w:hAnsi="仿宋" w:eastAsia="仿宋" w:cs="仿宋"/>
          <w:sz w:val="28"/>
          <w:szCs w:val="36"/>
          <w:lang w:val="en-US" w:eastAsia="zh-CN"/>
        </w:rPr>
        <w:t>邮  箱：bte@zhenweiexpo.com</w:t>
      </w:r>
    </w:p>
    <w:p w14:paraId="601EC715">
      <w:pPr>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高交会官网：www.chtf.com</w:t>
      </w:r>
    </w:p>
    <w:p w14:paraId="20202574">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BTE官网：www.bteexpo.com</w:t>
      </w:r>
    </w:p>
    <w:p w14:paraId="3E70EC5C">
      <w:pPr>
        <w:rPr>
          <w:rFonts w:hint="eastAsia"/>
          <w:lang w:val="en-US" w:eastAsia="zh-CN"/>
        </w:rPr>
      </w:pPr>
      <w:r>
        <w:rPr>
          <w:rFonts w:hint="eastAsia" w:ascii="仿宋" w:hAnsi="仿宋" w:eastAsia="仿宋" w:cs="仿宋"/>
          <w:sz w:val="28"/>
          <w:szCs w:val="36"/>
          <w:lang w:val="en-US" w:eastAsia="zh-CN"/>
        </w:rPr>
        <w:t xml:space="preserve">公众号：生物潮  </w:t>
      </w:r>
    </w:p>
    <w:p w14:paraId="5649F303">
      <w:pPr>
        <w:rPr>
          <w:rFonts w:hint="default"/>
          <w:lang w:val="en-US" w:eastAsia="zh-CN"/>
        </w:rPr>
      </w:pPr>
      <w:r>
        <w:rPr>
          <w:rFonts w:hint="eastAsia"/>
          <w:lang w:val="en-US" w:eastAsia="zh-CN"/>
        </w:rPr>
        <w:t xml:space="preserve"> </w:t>
      </w: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C105F">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EEF8B">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64EEF8B">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A61C5D"/>
    <w:multiLevelType w:val="singleLevel"/>
    <w:tmpl w:val="15A61C5D"/>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4Mzk2MGM0MjU5ZmNjZGU2OTRhMjQxMzk5N2Y1YjAifQ=="/>
  </w:docVars>
  <w:rsids>
    <w:rsidRoot w:val="08204FD6"/>
    <w:rsid w:val="00851BC8"/>
    <w:rsid w:val="00C566BE"/>
    <w:rsid w:val="02156CF8"/>
    <w:rsid w:val="037A4985"/>
    <w:rsid w:val="05164F23"/>
    <w:rsid w:val="061D2933"/>
    <w:rsid w:val="070F75D4"/>
    <w:rsid w:val="07FA2C54"/>
    <w:rsid w:val="08204FD6"/>
    <w:rsid w:val="084A3D96"/>
    <w:rsid w:val="0C687C3A"/>
    <w:rsid w:val="0CE610D2"/>
    <w:rsid w:val="0D6C6102"/>
    <w:rsid w:val="0DD51CE1"/>
    <w:rsid w:val="0FC03B56"/>
    <w:rsid w:val="128C1592"/>
    <w:rsid w:val="12E76019"/>
    <w:rsid w:val="13C74EC7"/>
    <w:rsid w:val="13F013D0"/>
    <w:rsid w:val="13F92B0F"/>
    <w:rsid w:val="13FA3812"/>
    <w:rsid w:val="1457117F"/>
    <w:rsid w:val="15863E98"/>
    <w:rsid w:val="16222BA1"/>
    <w:rsid w:val="168356F7"/>
    <w:rsid w:val="18D14EDF"/>
    <w:rsid w:val="1AED21FE"/>
    <w:rsid w:val="1B0C730A"/>
    <w:rsid w:val="1B305200"/>
    <w:rsid w:val="1BC6257B"/>
    <w:rsid w:val="1DC822F6"/>
    <w:rsid w:val="1F666BD8"/>
    <w:rsid w:val="224616A4"/>
    <w:rsid w:val="22852B7B"/>
    <w:rsid w:val="23843EDC"/>
    <w:rsid w:val="23CD5EA3"/>
    <w:rsid w:val="24D31108"/>
    <w:rsid w:val="26B85F2F"/>
    <w:rsid w:val="28785546"/>
    <w:rsid w:val="28903715"/>
    <w:rsid w:val="29B27E86"/>
    <w:rsid w:val="2BFD1023"/>
    <w:rsid w:val="2CCC676F"/>
    <w:rsid w:val="2F996FD4"/>
    <w:rsid w:val="330C2879"/>
    <w:rsid w:val="335C05C6"/>
    <w:rsid w:val="342C5183"/>
    <w:rsid w:val="36891248"/>
    <w:rsid w:val="38210241"/>
    <w:rsid w:val="3902576C"/>
    <w:rsid w:val="39D8284A"/>
    <w:rsid w:val="3B1E7C18"/>
    <w:rsid w:val="3C762A42"/>
    <w:rsid w:val="3D625074"/>
    <w:rsid w:val="3F4E23C3"/>
    <w:rsid w:val="42E87780"/>
    <w:rsid w:val="439E225A"/>
    <w:rsid w:val="440C098D"/>
    <w:rsid w:val="447774FB"/>
    <w:rsid w:val="45635A75"/>
    <w:rsid w:val="467928AE"/>
    <w:rsid w:val="4A790761"/>
    <w:rsid w:val="4B61311B"/>
    <w:rsid w:val="4CF741F5"/>
    <w:rsid w:val="4E070401"/>
    <w:rsid w:val="515E2AEF"/>
    <w:rsid w:val="51C83BCC"/>
    <w:rsid w:val="558C73BB"/>
    <w:rsid w:val="55D744B0"/>
    <w:rsid w:val="56560521"/>
    <w:rsid w:val="56E62907"/>
    <w:rsid w:val="599C0015"/>
    <w:rsid w:val="599C062E"/>
    <w:rsid w:val="5AE104D2"/>
    <w:rsid w:val="5B263AAC"/>
    <w:rsid w:val="5C7E0A40"/>
    <w:rsid w:val="5DAF2533"/>
    <w:rsid w:val="5E7F6905"/>
    <w:rsid w:val="5ED4272F"/>
    <w:rsid w:val="5F096696"/>
    <w:rsid w:val="60587DC1"/>
    <w:rsid w:val="6200468F"/>
    <w:rsid w:val="62B40154"/>
    <w:rsid w:val="630B2840"/>
    <w:rsid w:val="63536A40"/>
    <w:rsid w:val="66623EF7"/>
    <w:rsid w:val="66916BAC"/>
    <w:rsid w:val="66B66253"/>
    <w:rsid w:val="67DD4749"/>
    <w:rsid w:val="682D3DE2"/>
    <w:rsid w:val="69457301"/>
    <w:rsid w:val="6B695592"/>
    <w:rsid w:val="6B953663"/>
    <w:rsid w:val="6BB352D3"/>
    <w:rsid w:val="6C412465"/>
    <w:rsid w:val="6C6029AD"/>
    <w:rsid w:val="6C870395"/>
    <w:rsid w:val="6CAF74C0"/>
    <w:rsid w:val="6CEA4675"/>
    <w:rsid w:val="73133E57"/>
    <w:rsid w:val="76B92E1E"/>
    <w:rsid w:val="7A390DD7"/>
    <w:rsid w:val="7AC51015"/>
    <w:rsid w:val="7BC46112"/>
    <w:rsid w:val="7BC4677E"/>
    <w:rsid w:val="7E671C04"/>
    <w:rsid w:val="7E717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5">
    <w:name w:val="Balloon Text"/>
    <w:basedOn w:val="1"/>
    <w:link w:val="15"/>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pPr>
      <w:spacing w:beforeAutospacing="1" w:afterAutospacing="1"/>
      <w:jc w:val="left"/>
    </w:pPr>
    <w:rPr>
      <w:rFonts w:cs="Times New Roman"/>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paragraph" w:customStyle="1" w:styleId="14">
    <w:name w:val="默认"/>
    <w:autoRedefine/>
    <w:qFormat/>
    <w:uiPriority w:val="0"/>
    <w:rPr>
      <w:rFonts w:hint="eastAsia" w:ascii="Arial Unicode MS" w:hAnsi="Arial Unicode MS" w:eastAsia="Helvetica" w:cs="Arial Unicode MS"/>
      <w:color w:val="000000"/>
      <w:sz w:val="22"/>
      <w:szCs w:val="22"/>
      <w:lang w:val="zh-CN" w:eastAsia="zh-CN" w:bidi="ar-SA"/>
    </w:rPr>
  </w:style>
  <w:style w:type="character" w:customStyle="1" w:styleId="15">
    <w:name w:val="批注框文本 Char"/>
    <w:basedOn w:val="11"/>
    <w:link w:val="5"/>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4202</Words>
  <Characters>4482</Characters>
  <Lines>26</Lines>
  <Paragraphs>7</Paragraphs>
  <TotalTime>2</TotalTime>
  <ScaleCrop>false</ScaleCrop>
  <LinksUpToDate>false</LinksUpToDate>
  <CharactersWithSpaces>4560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2020-10-15T08:04:00Z</dcterms:created>
  <dc:creator>Administrator</dc:creator>
  <cp:lastModifiedBy>June</cp:lastModifiedBy>
  <dcterms:modified xsi:type="dcterms:W3CDTF">2025-03-28T08:35:31Z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BB1BEC2AA366447CB51E5EAFE1ADAE51_13</vt:lpwstr>
  </property>
  <property fmtid="{D5CDD505-2E9C-101B-9397-08002B2CF9AE}" pid="4" name="KSOTemplateDocerSaveRecord">
    <vt:lpwstr>eyJoZGlkIjoiMTBkNWE4YjE0ZWUzYTJkMWM3Y2U1YTI5NDFjMzU5ODMiLCJ1c2VySWQiOiIzMjMzNTk1MTYifQ==</vt:lpwstr>
  </property>
</Properties>
</file>