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93567">
      <w:pPr>
        <w:ind w:firstLine="1687" w:firstLineChars="600"/>
        <w:rPr>
          <w:rFonts w:hint="eastAsia" w:ascii="方正楷体_GB2312" w:hAnsi="方正楷体_GB2312" w:eastAsia="方正楷体_GB2312" w:cs="方正楷体_GB2312"/>
          <w:b/>
          <w:bCs/>
          <w:sz w:val="28"/>
          <w:szCs w:val="28"/>
          <w:lang w:val="en-US" w:eastAsia="zh-CN"/>
        </w:rPr>
      </w:pPr>
      <w:r>
        <w:rPr>
          <w:rFonts w:hint="eastAsia" w:ascii="方正楷体_GB2312" w:hAnsi="方正楷体_GB2312" w:eastAsia="方正楷体_GB2312" w:cs="方正楷体_GB2312"/>
          <w:b/>
          <w:bCs/>
          <w:sz w:val="28"/>
          <w:szCs w:val="28"/>
          <w:lang w:val="en-US" w:eastAsia="zh-CN"/>
        </w:rPr>
        <w:t>CIP2025中部（郑州）化工技术装备与新材料展览会</w:t>
      </w:r>
    </w:p>
    <w:p w14:paraId="5E54E819">
      <w:pPr>
        <w:ind w:firstLine="1928" w:firstLineChars="800"/>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时间：2025年06月17-19日  地址：郑州国际会展中心</w:t>
      </w:r>
    </w:p>
    <w:p w14:paraId="4DF9CC6D">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一、展会背景</w:t>
      </w:r>
    </w:p>
    <w:p w14:paraId="4482C646">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CIP2025中部（郑州）化工技术装备与新材料展览会由河南省石油和化学工业协会、河南省化工医药安全生产协会主办、由博览国际展览（河南）有限公司执行承办。大会将举办2025年06月17-19日郑州国际会展中心</w:t>
      </w:r>
      <w:bookmarkStart w:id="0" w:name="_GoBack"/>
      <w:bookmarkEnd w:id="0"/>
      <w:r>
        <w:rPr>
          <w:rFonts w:hint="eastAsia" w:ascii="方正楷体_GB2312" w:hAnsi="方正楷体_GB2312" w:eastAsia="方正楷体_GB2312" w:cs="方正楷体_GB2312"/>
          <w:b w:val="0"/>
          <w:bCs w:val="0"/>
          <w:sz w:val="24"/>
          <w:szCs w:val="24"/>
          <w:lang w:val="en-US" w:eastAsia="zh-CN"/>
        </w:rPr>
        <w:t>举办,本次展会规模打塔至20000平方米,1000余展位+品牌拟邀请6万专业观众到场参观选品、贸易合作，推动行业创新发展，CIP2025中部（郑州）化工技术装备与新材料展览会作为中国化工行业最具规模和影响力的盛会之一，中国国际郑州化工博览会一直致力于推动全球化、绿色化、智能化和可持续发展。本届展览会将汇聚全球化工企业、技和创新，为参展商和观众提供一个展示、交流和合作的平台。我们期待着在这个展览会上，展示中国化工行业的最新发展和技术成果，并与全球化工行业共同探讨未来的发展趋势和合作机遇。</w:t>
      </w:r>
    </w:p>
    <w:p w14:paraId="0D5C9255">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CIP2025中部（郑州）化工技术装备与新材料展览会将继续携手“化工技术设备原料及化工展”，以超大的展示规模在中原国际会展中心中心举办，从地域优势、产业氛围、战略合作开放性、创新经济模式等方面充分发挥“化工设备、化工技术与新材料、化工原料”的优势与实现企业参展最多效益。</w:t>
      </w:r>
    </w:p>
    <w:p w14:paraId="6FAF3F53">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作为中国的重要城市之一，郑州市拥有雄厚的化工、生物医药产业基础和丰富的资源优势。为了进一步推动化工、生物医药产业的发展，河南省石油和化学工业协会决定举办2025中部（郑州）化工技术装备与新材料展览会及化工技术科技高峰论坛，以加强国内外企业和机构的交流与合作，共同探讨产业发展趋势和机遇。</w:t>
      </w:r>
    </w:p>
    <w:p w14:paraId="3A2F4784">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大会主题：积极落实绿色安全低碳战略，推动行业数字化转型行动，搭建山河四省化工产业链，助力一带一路融合发展，为河南化工行业新型工业化转型而奋斗！旨在通过行业、企业的改革和创新，促进国际、国内双循环，实现全产业的高质量发展。本次大会将以</w:t>
      </w:r>
      <w:r>
        <w:rPr>
          <w:rFonts w:hint="eastAsia" w:ascii="方正楷体_GB2312" w:hAnsi="方正楷体_GB2312" w:eastAsia="方正楷体_GB2312" w:cs="方正楷体_GB2312"/>
          <w:b/>
          <w:bCs/>
          <w:sz w:val="24"/>
          <w:szCs w:val="24"/>
          <w:lang w:val="en-US" w:eastAsia="zh-CN"/>
        </w:rPr>
        <w:t>“改革创新助力产业高质量发展”</w:t>
      </w:r>
      <w:r>
        <w:rPr>
          <w:rFonts w:hint="eastAsia" w:ascii="方正楷体_GB2312" w:hAnsi="方正楷体_GB2312" w:eastAsia="方正楷体_GB2312" w:cs="方正楷体_GB2312"/>
          <w:b w:val="0"/>
          <w:bCs w:val="0"/>
          <w:sz w:val="24"/>
          <w:szCs w:val="24"/>
          <w:lang w:val="en-US" w:eastAsia="zh-CN"/>
        </w:rPr>
        <w:t>为主题</w:t>
      </w:r>
    </w:p>
    <w:p w14:paraId="0E634D6C">
      <w:pPr>
        <w:pStyle w:val="2"/>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sz w:val="24"/>
          <w:szCs w:val="24"/>
          <w:lang w:val="en-US" w:eastAsia="zh-CN"/>
        </w:rPr>
        <w:t>二、</w:t>
      </w:r>
      <w:r>
        <w:rPr>
          <w:rFonts w:hint="eastAsia" w:ascii="方正楷体_GB2312" w:hAnsi="方正楷体_GB2312" w:eastAsia="方正楷体_GB2312" w:cs="方正楷体_GB2312"/>
          <w:b/>
          <w:bCs/>
          <w:sz w:val="24"/>
          <w:szCs w:val="24"/>
          <w:lang w:val="en-US" w:eastAsia="zh-CN"/>
        </w:rPr>
        <w:t>组织机构：</w:t>
      </w:r>
    </w:p>
    <w:p w14:paraId="56718569">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bCs/>
          <w:sz w:val="24"/>
          <w:szCs w:val="24"/>
          <w:lang w:val="en-US" w:eastAsia="zh-CN"/>
        </w:rPr>
        <w:t>指导单位：</w:t>
      </w:r>
      <w:r>
        <w:rPr>
          <w:rFonts w:hint="eastAsia" w:ascii="方正楷体_GB2312" w:hAnsi="方正楷体_GB2312" w:eastAsia="方正楷体_GB2312" w:cs="方正楷体_GB2312"/>
          <w:b w:val="0"/>
          <w:bCs w:val="0"/>
          <w:sz w:val="24"/>
          <w:szCs w:val="24"/>
          <w:lang w:val="en-US" w:eastAsia="zh-CN"/>
        </w:rPr>
        <w:t>（拟邀）</w:t>
      </w:r>
    </w:p>
    <w:p w14:paraId="13E186EA">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河南省发展和改革委员会</w:t>
      </w:r>
    </w:p>
    <w:p w14:paraId="5616F402">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河南省工业和信息化厅</w:t>
      </w:r>
    </w:p>
    <w:p w14:paraId="61B8665E">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主办单位：</w:t>
      </w:r>
    </w:p>
    <w:p w14:paraId="670229EB">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河南省石油和化学工业协会</w:t>
      </w:r>
    </w:p>
    <w:p w14:paraId="7CBC8560">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河南省化工医药安全生产协会</w:t>
      </w:r>
    </w:p>
    <w:p w14:paraId="619471FB">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联合主办单位：</w:t>
      </w:r>
    </w:p>
    <w:p w14:paraId="5A326FB6">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山东产研化工新材料研究院、山东省高端化工促进会、山西省化学工业协会、河北省石油和化学工业协会、内蒙古石油和化学工业协会、安徽省石油和化学工业协会、河南省计量认证检验检测协会等；</w:t>
      </w:r>
    </w:p>
    <w:p w14:paraId="5347DF33">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协办单位：</w:t>
      </w:r>
    </w:p>
    <w:p w14:paraId="4381FEE6">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河南能源、平煤神马、心连心集团、金大地、多氟多、</w:t>
      </w:r>
      <w:r>
        <w:rPr>
          <w:rFonts w:hint="eastAsia" w:ascii="方正楷体_GB2312" w:hAnsi="方正楷体_GB2312" w:eastAsia="方正楷体_GB2312" w:cs="方正楷体_GB2312"/>
          <w:b w:val="0"/>
          <w:bCs w:val="0"/>
          <w:sz w:val="24"/>
          <w:szCs w:val="24"/>
          <w:lang w:val="en-US" w:eastAsia="zh-CN"/>
        </w:rPr>
        <w:fldChar w:fldCharType="begin"/>
      </w:r>
      <w:r>
        <w:rPr>
          <w:rFonts w:hint="eastAsia" w:ascii="方正楷体_GB2312" w:hAnsi="方正楷体_GB2312" w:eastAsia="方正楷体_GB2312" w:cs="方正楷体_GB2312"/>
          <w:b w:val="0"/>
          <w:bCs w:val="0"/>
          <w:sz w:val="24"/>
          <w:szCs w:val="24"/>
          <w:lang w:val="en-US" w:eastAsia="zh-CN"/>
        </w:rPr>
        <w:instrText xml:space="preserve"> HYPERLINK "http://www.baidu.com/link?url=Af4RdU7_8yAkxitNztciQDtkNtMVbBT3kSelBzfPP9-6OLeYS2oHjtiVarZLJybx" \t "https://www.baidu.com/_blank" </w:instrText>
      </w:r>
      <w:r>
        <w:rPr>
          <w:rFonts w:hint="eastAsia" w:ascii="方正楷体_GB2312" w:hAnsi="方正楷体_GB2312" w:eastAsia="方正楷体_GB2312" w:cs="方正楷体_GB2312"/>
          <w:b w:val="0"/>
          <w:bCs w:val="0"/>
          <w:sz w:val="24"/>
          <w:szCs w:val="24"/>
          <w:lang w:val="en-US" w:eastAsia="zh-CN"/>
        </w:rPr>
        <w:fldChar w:fldCharType="separate"/>
      </w:r>
      <w:r>
        <w:rPr>
          <w:rFonts w:hint="eastAsia" w:ascii="方正楷体_GB2312" w:hAnsi="方正楷体_GB2312" w:eastAsia="方正楷体_GB2312" w:cs="方正楷体_GB2312"/>
          <w:b w:val="0"/>
          <w:bCs w:val="0"/>
          <w:sz w:val="24"/>
          <w:szCs w:val="24"/>
          <w:lang w:val="en-US" w:eastAsia="zh-CN"/>
        </w:rPr>
        <w:t>龙佰集团</w:t>
      </w:r>
      <w:r>
        <w:rPr>
          <w:rFonts w:hint="eastAsia" w:ascii="方正楷体_GB2312" w:hAnsi="方正楷体_GB2312" w:eastAsia="方正楷体_GB2312" w:cs="方正楷体_GB2312"/>
          <w:b w:val="0"/>
          <w:bCs w:val="0"/>
          <w:sz w:val="24"/>
          <w:szCs w:val="24"/>
          <w:lang w:val="en-US" w:eastAsia="zh-CN"/>
        </w:rPr>
        <w:fldChar w:fldCharType="end"/>
      </w:r>
      <w:r>
        <w:rPr>
          <w:rFonts w:hint="eastAsia" w:ascii="方正楷体_GB2312" w:hAnsi="方正楷体_GB2312" w:eastAsia="方正楷体_GB2312" w:cs="方正楷体_GB2312"/>
          <w:b w:val="0"/>
          <w:bCs w:val="0"/>
          <w:sz w:val="24"/>
          <w:szCs w:val="24"/>
          <w:lang w:val="en-US" w:eastAsia="zh-CN"/>
        </w:rPr>
        <w:t>、景泰集团、九泓化工相关协会及相关知名企业等；</w:t>
      </w:r>
    </w:p>
    <w:p w14:paraId="397F8208">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bCs/>
          <w:sz w:val="24"/>
          <w:szCs w:val="24"/>
          <w:lang w:val="en-US" w:eastAsia="zh-CN"/>
        </w:rPr>
        <w:t>承办单位：</w:t>
      </w:r>
      <w:r>
        <w:rPr>
          <w:rFonts w:hint="eastAsia" w:ascii="方正楷体_GB2312" w:hAnsi="方正楷体_GB2312" w:eastAsia="方正楷体_GB2312" w:cs="方正楷体_GB2312"/>
          <w:b w:val="0"/>
          <w:bCs w:val="0"/>
          <w:sz w:val="24"/>
          <w:szCs w:val="24"/>
          <w:lang w:val="en-US" w:eastAsia="zh-CN"/>
        </w:rPr>
        <w:t>博览国际展览（河南）有限公司</w:t>
      </w:r>
    </w:p>
    <w:p w14:paraId="5C9B4F58">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三、日程安排</w:t>
      </w:r>
    </w:p>
    <w:p w14:paraId="100AA462">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06月15-16日9:00-18:00  报到布展        06月17日9:00-17:00 开幕仪式、洽谈采购</w:t>
      </w:r>
    </w:p>
    <w:p w14:paraId="019B5854">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06月17-19日9:00-17:00  洽谈采购       06月19日15:00-20:00 撤展</w:t>
      </w:r>
    </w:p>
    <w:p w14:paraId="3AF92B67">
      <w:pPr>
        <w:pStyle w:val="10"/>
        <w:keepNext w:val="0"/>
        <w:keepLines w:val="0"/>
        <w:pageBreakBefore w:val="0"/>
        <w:shd w:val="clear" w:color="auto" w:fill="FFFFFF"/>
        <w:tabs>
          <w:tab w:val="left" w:pos="1260"/>
          <w:tab w:val="left" w:pos="5460"/>
        </w:tabs>
        <w:kinsoku/>
        <w:wordWrap/>
        <w:overflowPunct/>
        <w:topLinePunct w:val="0"/>
        <w:autoSpaceDE/>
        <w:autoSpaceDN/>
        <w:bidi w:val="0"/>
        <w:adjustRightInd/>
        <w:snapToGrid/>
        <w:spacing w:before="0" w:beforeAutospacing="0" w:after="0" w:afterAutospacing="0" w:line="300" w:lineRule="auto"/>
        <w:jc w:val="both"/>
        <w:textAlignment w:val="auto"/>
        <w:rPr>
          <w:rFonts w:hint="eastAsia" w:ascii="方正楷体_GB2312" w:hAnsi="方正楷体_GB2312" w:eastAsia="方正楷体_GB2312" w:cs="方正楷体_GB2312"/>
          <w:b/>
          <w:bCs w:val="0"/>
          <w:sz w:val="24"/>
          <w:szCs w:val="24"/>
          <w:lang w:val="en-US" w:eastAsia="zh-CN"/>
        </w:rPr>
      </w:pPr>
      <w:r>
        <w:rPr>
          <w:rFonts w:hint="eastAsia" w:ascii="方正楷体_GB2312" w:hAnsi="方正楷体_GB2312" w:eastAsia="方正楷体_GB2312" w:cs="方正楷体_GB2312"/>
          <w:b/>
          <w:bCs w:val="0"/>
          <w:sz w:val="24"/>
          <w:szCs w:val="24"/>
          <w:lang w:val="en-US" w:eastAsia="zh-CN"/>
        </w:rPr>
        <w:t>四、展览展示</w:t>
      </w:r>
    </w:p>
    <w:p w14:paraId="531DA024">
      <w:pPr>
        <w:pStyle w:val="10"/>
        <w:keepNext w:val="0"/>
        <w:keepLines w:val="0"/>
        <w:pageBreakBefore w:val="0"/>
        <w:shd w:val="clear" w:color="auto" w:fill="FFFFFF"/>
        <w:tabs>
          <w:tab w:val="left" w:pos="1260"/>
          <w:tab w:val="left" w:pos="5460"/>
        </w:tabs>
        <w:kinsoku/>
        <w:wordWrap/>
        <w:overflowPunct/>
        <w:topLinePunct w:val="0"/>
        <w:autoSpaceDE/>
        <w:autoSpaceDN/>
        <w:bidi w:val="0"/>
        <w:adjustRightInd/>
        <w:snapToGrid/>
        <w:spacing w:before="0" w:beforeAutospacing="0" w:after="0" w:afterAutospacing="0" w:line="300" w:lineRule="auto"/>
        <w:jc w:val="both"/>
        <w:textAlignment w:val="auto"/>
        <w:rPr>
          <w:rFonts w:hint="eastAsia" w:ascii="方正楷体_GB2312" w:hAnsi="方正楷体_GB2312" w:eastAsia="方正楷体_GB2312" w:cs="方正楷体_GB2312"/>
          <w:b/>
          <w:bCs w:val="0"/>
          <w:sz w:val="24"/>
          <w:szCs w:val="24"/>
          <w:lang w:val="en-US" w:eastAsia="zh-CN"/>
        </w:rPr>
      </w:pPr>
      <w:r>
        <w:rPr>
          <w:rFonts w:hint="eastAsia" w:ascii="方正楷体_GB2312" w:hAnsi="方正楷体_GB2312" w:eastAsia="方正楷体_GB2312" w:cs="方正楷体_GB2312"/>
          <w:b/>
          <w:bCs w:val="0"/>
          <w:sz w:val="24"/>
          <w:szCs w:val="24"/>
          <w:lang w:val="en-US" w:eastAsia="zh-CN"/>
        </w:rPr>
        <w:t>展区设置和展览范围如下：</w:t>
      </w:r>
    </w:p>
    <w:p w14:paraId="5EEC1F2A">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1、先进尼龙材料、化工新材料展区  2、农化及精细化工化学品展区</w:t>
      </w:r>
    </w:p>
    <w:p w14:paraId="34BFE9A6">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3、生物化工医药展区              4、化工技术与装备展区</w:t>
      </w:r>
    </w:p>
    <w:p w14:paraId="06FA7B11">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5.化工安全信息与环保展区         6.化学品包装与储运展区</w:t>
      </w:r>
    </w:p>
    <w:p w14:paraId="3426E469">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7.智慧化工-智能制造展区          8.泵阀管道展区：</w:t>
      </w:r>
    </w:p>
    <w:p w14:paraId="45169604">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9.智慧化工园区展区               10.电子化学品展区</w:t>
      </w:r>
    </w:p>
    <w:p w14:paraId="6E87EA73">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11.化学试剂检验检测暨实验室设备展区12.省地市组团展区</w:t>
      </w:r>
    </w:p>
    <w:p w14:paraId="41657EBF">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bCs/>
          <w:sz w:val="24"/>
          <w:szCs w:val="24"/>
          <w:lang w:val="en-US" w:eastAsia="zh-Hans"/>
        </w:rPr>
        <w:t>本届中部化工展展览面积总体目标</w:t>
      </w:r>
      <w:r>
        <w:rPr>
          <w:rFonts w:hint="eastAsia" w:ascii="方正楷体_GB2312" w:hAnsi="方正楷体_GB2312" w:eastAsia="方正楷体_GB2312" w:cs="方正楷体_GB2312"/>
          <w:b w:val="0"/>
          <w:bCs w:val="0"/>
          <w:sz w:val="24"/>
          <w:szCs w:val="24"/>
          <w:lang w:val="en-US" w:eastAsia="zh-Hans"/>
        </w:rPr>
        <w:t>：展览面积20000平米，设1000个国际标准展位， 不少于 160 家以上国内化工百强企业和知名品牌企业参展，特装面积 60 %以上；邀请到 450家以上有明确采购意向的采购团和 2 万家以上专业采购商；确保一批具有投资合作意向的重量级客商参会；签约一批贸易采购合同和投资项目。</w:t>
      </w:r>
    </w:p>
    <w:p w14:paraId="7319E598">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Hans"/>
        </w:rPr>
        <w:t>目标观众</w:t>
      </w:r>
      <w:r>
        <w:rPr>
          <w:rFonts w:hint="eastAsia" w:ascii="方正楷体_GB2312" w:hAnsi="方正楷体_GB2312" w:eastAsia="方正楷体_GB2312" w:cs="方正楷体_GB2312"/>
          <w:b/>
          <w:bCs/>
          <w:sz w:val="24"/>
          <w:szCs w:val="24"/>
          <w:lang w:val="en-US" w:eastAsia="zh-CN"/>
        </w:rPr>
        <w:t>：</w:t>
      </w:r>
    </w:p>
    <w:p w14:paraId="6E014245">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sz w:val="24"/>
          <w:szCs w:val="24"/>
          <w:lang w:val="en-US" w:eastAsia="zh-CN"/>
        </w:rPr>
      </w:pPr>
      <w:r>
        <w:rPr>
          <w:rFonts w:hint="eastAsia" w:ascii="方正楷体_GB2312" w:hAnsi="方正楷体_GB2312" w:eastAsia="方正楷体_GB2312" w:cs="方正楷体_GB2312"/>
          <w:b w:val="0"/>
          <w:bCs w:val="0"/>
          <w:sz w:val="24"/>
          <w:szCs w:val="24"/>
          <w:lang w:val="en-US" w:eastAsia="zh-CN"/>
        </w:rPr>
        <w:t>园区、化工、精细化工、石油、制药、环保、生物、化肥、医药、农药、涂料、氯碱、生物发酵、食品、造纸、淀粉、制糖、饲料、钢铁、电解铝、焦化、橡胶、水利、供热、电力、电子、冶金、陶瓷、印染、建材、消防、农业灌溉、工矿井排水、等企业，市政、热电、热力等企业行业的人士到会参观。</w:t>
      </w:r>
    </w:p>
    <w:p w14:paraId="53513081">
      <w:pPr>
        <w:pStyle w:val="6"/>
        <w:numPr>
          <w:ilvl w:val="0"/>
          <w:numId w:val="0"/>
        </w:numPr>
        <w:jc w:val="left"/>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bCs/>
          <w:color w:val="auto"/>
          <w:kern w:val="2"/>
          <w:sz w:val="24"/>
          <w:szCs w:val="24"/>
          <w:u w:val="none"/>
          <w:shd w:val="clear" w:color="auto" w:fill="FFFFFF"/>
          <w:lang w:val="en-US" w:eastAsia="zh-CN" w:bidi="ar-SA"/>
        </w:rPr>
        <w:t>六、</w:t>
      </w:r>
      <w:r>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t>大会同期重要会议及专项活动</w:t>
      </w:r>
    </w:p>
    <w:p w14:paraId="232B5AB1">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CN"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工业自动化论坛、等内容，同期举办10多场主题会议论坛。包括有“化工新材料（电子化学品）发展论坛”、“精细化工材料产业创新发展论坛”、“智驭未来：化工企业数字化转型升级高峰论坛”、“一带一路”国际能源化工与泵阀管技术高峰论坛”、“绿色化工·共筑未来：化工环保创新与发展论坛”、“河南化工园区绿色低碳高质量发展论坛”等请各相关单位组织</w:t>
      </w: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CN" w:bidi="ar-SA"/>
        </w:rPr>
        <w:t>。</w:t>
      </w:r>
    </w:p>
    <w:p w14:paraId="7D3B8662">
      <w:pPr>
        <w:spacing w:line="560" w:lineRule="exact"/>
        <w:rPr>
          <w:rFonts w:hint="eastAsia"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lang w:val="en-US" w:eastAsia="zh-CN"/>
        </w:rPr>
        <w:t>七</w:t>
      </w:r>
      <w:r>
        <w:rPr>
          <w:rFonts w:hint="eastAsia" w:ascii="方正楷体_GB2312" w:hAnsi="方正楷体_GB2312" w:eastAsia="方正楷体_GB2312" w:cs="方正楷体_GB2312"/>
          <w:b/>
          <w:bCs/>
          <w:kern w:val="0"/>
          <w:sz w:val="24"/>
          <w:szCs w:val="24"/>
        </w:rPr>
        <w:t>、主要日程</w:t>
      </w:r>
    </w:p>
    <w:p w14:paraId="157FC338">
      <w:pPr>
        <w:pStyle w:val="10"/>
        <w:spacing w:before="0" w:beforeAutospacing="0" w:after="0" w:afterAutospacing="0" w:line="560" w:lineRule="exact"/>
        <w:textAlignment w:val="baseline"/>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（一）主要日程</w:t>
      </w:r>
    </w:p>
    <w:tbl>
      <w:tblPr>
        <w:tblStyle w:val="1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5979"/>
        <w:gridCol w:w="1970"/>
      </w:tblGrid>
      <w:tr w14:paraId="4800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10" w:type="dxa"/>
            <w:tcBorders>
              <w:top w:val="single" w:color="5B9BD5" w:themeColor="accent1" w:sz="6" w:space="0"/>
              <w:left w:val="single" w:color="5B9BD5" w:themeColor="accent1" w:sz="6" w:space="0"/>
              <w:bottom w:val="single" w:color="5B9BD5" w:themeColor="accent1" w:sz="6" w:space="0"/>
              <w:right w:val="single" w:color="BDD6EE" w:themeColor="accent1" w:themeTint="66" w:sz="6" w:space="0"/>
            </w:tcBorders>
            <w:shd w:val="clear" w:color="auto" w:fill="5B9BD5" w:themeFill="accent1"/>
            <w:noWrap w:val="0"/>
            <w:vAlign w:val="top"/>
          </w:tcPr>
          <w:p w14:paraId="19DE35CF">
            <w:pPr>
              <w:pStyle w:val="10"/>
              <w:widowControl w:val="0"/>
              <w:spacing w:before="0" w:beforeAutospacing="0" w:after="0" w:afterAutospacing="0" w:line="560" w:lineRule="exact"/>
              <w:jc w:val="center"/>
              <w:textAlignment w:val="baseline"/>
              <w:rPr>
                <w:rFonts w:hint="eastAsia" w:ascii="楷体" w:hAnsi="楷体" w:eastAsia="楷体" w:cs="楷体"/>
                <w:b/>
                <w:bCs/>
                <w:i w:val="0"/>
                <w:color w:val="FFFFFF"/>
                <w:sz w:val="24"/>
                <w:szCs w:val="24"/>
              </w:rPr>
            </w:pPr>
            <w:r>
              <w:rPr>
                <w:rFonts w:hint="eastAsia" w:ascii="楷体" w:hAnsi="楷体" w:eastAsia="楷体" w:cs="楷体"/>
                <w:b/>
                <w:bCs/>
                <w:i w:val="0"/>
                <w:color w:val="FFFFFF"/>
                <w:sz w:val="24"/>
                <w:szCs w:val="24"/>
              </w:rPr>
              <w:t>日期</w:t>
            </w:r>
          </w:p>
        </w:tc>
        <w:tc>
          <w:tcPr>
            <w:tcW w:w="5979" w:type="dxa"/>
            <w:tcBorders>
              <w:top w:val="single" w:color="5B9BD5" w:themeColor="accent1" w:sz="6" w:space="0"/>
              <w:left w:val="single" w:color="BDD6EE" w:themeColor="accent1" w:themeTint="66" w:sz="6" w:space="0"/>
              <w:bottom w:val="single" w:color="5B9BD5" w:themeColor="accent1" w:sz="6" w:space="0"/>
              <w:right w:val="single" w:color="BDD6EE" w:themeColor="accent1" w:themeTint="66" w:sz="6" w:space="0"/>
            </w:tcBorders>
            <w:shd w:val="clear" w:color="auto" w:fill="5B9BD5" w:themeFill="accent1"/>
            <w:noWrap w:val="0"/>
            <w:vAlign w:val="center"/>
          </w:tcPr>
          <w:p w14:paraId="3E11B72B">
            <w:pPr>
              <w:pStyle w:val="10"/>
              <w:widowControl w:val="0"/>
              <w:spacing w:before="0" w:beforeAutospacing="0" w:after="0" w:afterAutospacing="0" w:line="560" w:lineRule="exact"/>
              <w:jc w:val="center"/>
              <w:textAlignment w:val="baseline"/>
              <w:rPr>
                <w:rFonts w:hint="eastAsia" w:ascii="楷体" w:hAnsi="楷体" w:eastAsia="楷体" w:cs="楷体"/>
                <w:b/>
                <w:bCs/>
                <w:i w:val="0"/>
                <w:color w:val="FFFFFF"/>
                <w:sz w:val="24"/>
                <w:szCs w:val="24"/>
              </w:rPr>
            </w:pPr>
            <w:r>
              <w:rPr>
                <w:rFonts w:hint="eastAsia" w:ascii="楷体" w:hAnsi="楷体" w:eastAsia="楷体" w:cs="楷体"/>
                <w:b/>
                <w:bCs/>
                <w:i w:val="0"/>
                <w:color w:val="FFFFFF"/>
                <w:sz w:val="24"/>
                <w:szCs w:val="24"/>
              </w:rPr>
              <w:t>活动名称</w:t>
            </w:r>
          </w:p>
        </w:tc>
        <w:tc>
          <w:tcPr>
            <w:tcW w:w="1970" w:type="dxa"/>
            <w:tcBorders>
              <w:top w:val="single" w:color="5B9BD5" w:themeColor="accent1" w:sz="6" w:space="0"/>
              <w:left w:val="single" w:color="BDD6EE" w:themeColor="accent1" w:themeTint="66" w:sz="6" w:space="0"/>
              <w:bottom w:val="single" w:color="5B9BD5" w:themeColor="accent1" w:sz="6" w:space="0"/>
              <w:right w:val="single" w:color="5B9BD5" w:themeColor="accent1" w:sz="6" w:space="0"/>
            </w:tcBorders>
            <w:shd w:val="clear" w:color="auto" w:fill="5B9BD5" w:themeFill="accent1"/>
            <w:noWrap w:val="0"/>
            <w:vAlign w:val="center"/>
          </w:tcPr>
          <w:p w14:paraId="6C527E14">
            <w:pPr>
              <w:pStyle w:val="10"/>
              <w:widowControl w:val="0"/>
              <w:spacing w:before="0" w:beforeAutospacing="0" w:after="0" w:afterAutospacing="0" w:line="560" w:lineRule="exact"/>
              <w:jc w:val="center"/>
              <w:textAlignment w:val="baseline"/>
              <w:rPr>
                <w:rFonts w:hint="eastAsia" w:ascii="楷体" w:hAnsi="楷体" w:eastAsia="楷体" w:cs="楷体"/>
                <w:b/>
                <w:bCs/>
                <w:i w:val="0"/>
                <w:color w:val="FFFFFF"/>
                <w:sz w:val="24"/>
                <w:szCs w:val="24"/>
              </w:rPr>
            </w:pPr>
            <w:r>
              <w:rPr>
                <w:rFonts w:hint="eastAsia" w:ascii="楷体" w:hAnsi="楷体" w:eastAsia="楷体" w:cs="楷体"/>
                <w:b/>
                <w:bCs/>
                <w:i w:val="0"/>
                <w:color w:val="FFFFFF"/>
                <w:sz w:val="24"/>
                <w:szCs w:val="24"/>
              </w:rPr>
              <w:t>活动地点</w:t>
            </w:r>
          </w:p>
        </w:tc>
      </w:tr>
      <w:tr w14:paraId="7FC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10" w:type="dxa"/>
            <w:vMerge w:val="restart"/>
            <w:tcBorders>
              <w:top w:val="single" w:color="5B9BD5" w:themeColor="accent1"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7689C2BC">
            <w:pPr>
              <w:widowControl w:val="0"/>
              <w:spacing w:line="560" w:lineRule="exact"/>
              <w:jc w:val="center"/>
              <w:rPr>
                <w:rFonts w:hint="eastAsia" w:ascii="楷体" w:hAnsi="楷体" w:eastAsia="楷体" w:cs="楷体"/>
                <w:b w:val="0"/>
                <w:i w:val="0"/>
                <w:color w:val="000000"/>
                <w:sz w:val="24"/>
                <w:szCs w:val="24"/>
                <w:lang w:eastAsia="zh-CN"/>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17</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上午</w:t>
            </w:r>
            <w:r>
              <w:rPr>
                <w:rFonts w:hint="eastAsia" w:ascii="楷体" w:hAnsi="楷体" w:eastAsia="楷体" w:cs="楷体"/>
                <w:b w:val="0"/>
                <w:i w:val="0"/>
                <w:color w:val="000000"/>
                <w:sz w:val="24"/>
                <w:szCs w:val="24"/>
                <w:lang w:eastAsia="zh-CN"/>
              </w:rPr>
              <w:t>）</w:t>
            </w:r>
          </w:p>
        </w:tc>
        <w:tc>
          <w:tcPr>
            <w:tcW w:w="5979" w:type="dxa"/>
            <w:tcBorders>
              <w:top w:val="single" w:color="5B9BD5" w:themeColor="accent1"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1012D9A">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巡馆、开幕式</w:t>
            </w:r>
          </w:p>
        </w:tc>
        <w:tc>
          <w:tcPr>
            <w:tcW w:w="1970" w:type="dxa"/>
            <w:tcBorders>
              <w:top w:val="single" w:color="5B9BD5" w:themeColor="accent1"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3E7A4B36">
            <w:pPr>
              <w:widowControl w:val="0"/>
              <w:spacing w:line="560" w:lineRule="exact"/>
              <w:jc w:val="center"/>
              <w:rPr>
                <w:rFonts w:hint="eastAsia" w:ascii="楷体" w:hAnsi="楷体" w:eastAsia="楷体" w:cs="楷体"/>
                <w:b w:val="0"/>
                <w:i w:val="0"/>
                <w:color w:val="000000"/>
                <w:sz w:val="24"/>
                <w:szCs w:val="24"/>
              </w:rPr>
            </w:pPr>
            <w:r>
              <w:rPr>
                <w:rFonts w:hint="eastAsia" w:ascii="楷体" w:hAnsi="楷体" w:eastAsia="楷体" w:cs="楷体"/>
                <w:b w:val="0"/>
                <w:i w:val="0"/>
                <w:color w:val="000000"/>
                <w:kern w:val="0"/>
                <w:sz w:val="24"/>
                <w:szCs w:val="24"/>
              </w:rPr>
              <w:t>开幕式区</w:t>
            </w:r>
          </w:p>
        </w:tc>
      </w:tr>
      <w:tr w14:paraId="3095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4BCE9140">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2E8F5A39">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石油化工高质量高峰论坛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99ACB55">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开幕式区</w:t>
            </w:r>
          </w:p>
        </w:tc>
      </w:tr>
      <w:tr w14:paraId="1894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289FA30">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0BBB2AF">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化工新材料（电子化学品）发展论坛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52DF1EF1">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4564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1D3E8A8B">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7D03C1E3">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河南化工园区绿色低碳高质量发展论坛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527732CB">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开幕式区</w:t>
            </w:r>
          </w:p>
        </w:tc>
      </w:tr>
      <w:tr w14:paraId="71F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78F9C20F">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5AAF963E">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专题推介会</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06882A50">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12B8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44390EB0">
            <w:pPr>
              <w:widowControl w:val="0"/>
              <w:spacing w:line="560" w:lineRule="exact"/>
              <w:jc w:val="center"/>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17</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上午</w:t>
            </w:r>
            <w:r>
              <w:rPr>
                <w:rFonts w:hint="eastAsia" w:ascii="楷体" w:hAnsi="楷体" w:eastAsia="楷体" w:cs="楷体"/>
                <w:b w:val="0"/>
                <w:i w:val="0"/>
                <w:color w:val="000000"/>
                <w:sz w:val="24"/>
                <w:szCs w:val="24"/>
                <w:lang w:eastAsia="zh-CN"/>
              </w:rPr>
              <w:t>）</w:t>
            </w: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2B7CC2D7">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高端专用化学品高峰论坛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401E787">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17F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55CF911C">
            <w:pPr>
              <w:widowControl w:val="0"/>
              <w:spacing w:line="560" w:lineRule="exact"/>
              <w:jc w:val="center"/>
              <w:rPr>
                <w:rFonts w:hint="eastAsia" w:ascii="楷体" w:hAnsi="楷体" w:eastAsia="楷体" w:cs="楷体"/>
                <w:b w:val="0"/>
                <w:i w:val="0"/>
                <w:color w:val="000000"/>
                <w:sz w:val="24"/>
                <w:szCs w:val="24"/>
                <w:lang w:val="en-US" w:eastAsia="zh-CN"/>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00216784">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石化行业绿色低碳高质量发展高峰论坛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023615B0">
            <w:pPr>
              <w:widowControl w:val="0"/>
              <w:jc w:val="center"/>
              <w:rPr>
                <w:rFonts w:hint="eastAsia" w:ascii="楷体" w:hAnsi="楷体" w:eastAsia="楷体" w:cs="楷体"/>
                <w:b w:val="0"/>
                <w:i w:val="0"/>
                <w:color w:val="000000"/>
                <w:kern w:val="0"/>
                <w:sz w:val="24"/>
                <w:szCs w:val="24"/>
                <w:lang w:val="en-US" w:eastAsia="zh-CN"/>
              </w:rPr>
            </w:pPr>
            <w:r>
              <w:rPr>
                <w:rFonts w:hint="eastAsia" w:ascii="楷体" w:hAnsi="楷体" w:eastAsia="楷体" w:cs="楷体"/>
                <w:b w:val="0"/>
                <w:i w:val="0"/>
                <w:color w:val="000000"/>
                <w:kern w:val="0"/>
                <w:sz w:val="24"/>
                <w:szCs w:val="24"/>
                <w:lang w:val="en-US" w:eastAsia="zh-CN"/>
              </w:rPr>
              <w:t>论坛区</w:t>
            </w:r>
          </w:p>
        </w:tc>
      </w:tr>
      <w:tr w14:paraId="5ED5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213D981F">
            <w:pPr>
              <w:widowControl w:val="0"/>
              <w:spacing w:line="560" w:lineRule="exact"/>
              <w:jc w:val="center"/>
              <w:rPr>
                <w:rFonts w:hint="eastAsia" w:ascii="楷体" w:hAnsi="楷体" w:eastAsia="楷体" w:cs="楷体"/>
                <w:b w:val="0"/>
                <w:i w:val="0"/>
                <w:color w:val="000000"/>
                <w:sz w:val="24"/>
                <w:szCs w:val="24"/>
                <w:lang w:val="en-US" w:eastAsia="zh-CN"/>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535C2D44">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rPr>
              <w:t>一带一路”国际能源化工与泵阀管技术高峰论坛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DF74865">
            <w:pPr>
              <w:widowControl w:val="0"/>
              <w:jc w:val="center"/>
              <w:rPr>
                <w:rFonts w:hint="eastAsia" w:ascii="楷体" w:hAnsi="楷体" w:eastAsia="楷体" w:cs="楷体"/>
                <w:b w:val="0"/>
                <w:i w:val="0"/>
                <w:color w:val="000000"/>
                <w:kern w:val="0"/>
                <w:sz w:val="24"/>
                <w:szCs w:val="24"/>
                <w:lang w:val="en-US" w:eastAsia="zh-CN"/>
              </w:rPr>
            </w:pPr>
            <w:r>
              <w:rPr>
                <w:rFonts w:hint="eastAsia" w:ascii="楷体" w:hAnsi="楷体" w:eastAsia="楷体" w:cs="楷体"/>
                <w:b w:val="0"/>
                <w:i w:val="0"/>
                <w:color w:val="000000"/>
                <w:kern w:val="0"/>
                <w:sz w:val="24"/>
                <w:szCs w:val="24"/>
                <w:lang w:val="en-US" w:eastAsia="zh-CN"/>
              </w:rPr>
              <w:t>论坛区</w:t>
            </w:r>
          </w:p>
        </w:tc>
      </w:tr>
      <w:tr w14:paraId="6ED3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F4B0F15">
            <w:pPr>
              <w:widowControl w:val="0"/>
              <w:spacing w:line="560" w:lineRule="exact"/>
              <w:jc w:val="center"/>
              <w:rPr>
                <w:rFonts w:hint="eastAsia" w:ascii="楷体" w:hAnsi="楷体" w:eastAsia="楷体" w:cs="楷体"/>
                <w:b w:val="0"/>
                <w:i w:val="0"/>
                <w:color w:val="000000"/>
                <w:sz w:val="24"/>
                <w:szCs w:val="24"/>
                <w:lang w:val="en-US" w:eastAsia="zh-CN"/>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49374744">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数字化转型与高端装备高峰论坛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3D6D7AB2">
            <w:pPr>
              <w:widowControl w:val="0"/>
              <w:jc w:val="center"/>
              <w:rPr>
                <w:rFonts w:hint="eastAsia" w:ascii="楷体" w:hAnsi="楷体" w:eastAsia="楷体" w:cs="楷体"/>
                <w:b w:val="0"/>
                <w:i w:val="0"/>
                <w:color w:val="000000"/>
                <w:kern w:val="0"/>
                <w:sz w:val="24"/>
                <w:szCs w:val="24"/>
                <w:lang w:val="en-US" w:eastAsia="zh-CN"/>
              </w:rPr>
            </w:pPr>
            <w:r>
              <w:rPr>
                <w:rFonts w:hint="eastAsia" w:ascii="楷体" w:hAnsi="楷体" w:eastAsia="楷体" w:cs="楷体"/>
                <w:b w:val="0"/>
                <w:i w:val="0"/>
                <w:color w:val="000000"/>
                <w:kern w:val="0"/>
                <w:sz w:val="24"/>
                <w:szCs w:val="24"/>
                <w:lang w:val="en-US" w:eastAsia="zh-CN"/>
              </w:rPr>
              <w:t>论坛区</w:t>
            </w:r>
          </w:p>
        </w:tc>
      </w:tr>
      <w:tr w14:paraId="38BE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1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797EE372">
            <w:pPr>
              <w:widowControl w:val="0"/>
              <w:spacing w:line="560" w:lineRule="exact"/>
              <w:jc w:val="center"/>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18</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上午）</w:t>
            </w: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7D05B6D3">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先进尼龙材料产业论坛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03DB4218">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kern w:val="0"/>
                <w:sz w:val="24"/>
                <w:szCs w:val="24"/>
              </w:rPr>
              <w:t>开幕式区</w:t>
            </w:r>
          </w:p>
        </w:tc>
      </w:tr>
      <w:tr w14:paraId="7B08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E1ED39C">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BAB2A08">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精细化工材料产业创新发展论坛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2D067050">
            <w:pPr>
              <w:widowControl w:val="0"/>
              <w:jc w:val="center"/>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kern w:val="0"/>
                <w:sz w:val="24"/>
                <w:szCs w:val="24"/>
                <w:lang w:val="en-US" w:eastAsia="zh-CN"/>
              </w:rPr>
              <w:t>会议区</w:t>
            </w:r>
          </w:p>
        </w:tc>
      </w:tr>
      <w:tr w14:paraId="4CFF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05CD7E1D">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097EFAE5">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智驭未来：化工企业数字化转型升级高峰论坛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00C2EF81">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412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D380063">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AB3C8C4">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化学品包装及储运高峰论坛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61A7CAF1">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开幕式区</w:t>
            </w:r>
          </w:p>
        </w:tc>
      </w:tr>
      <w:tr w14:paraId="5FD1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60B96FDA">
            <w:pPr>
              <w:widowControl w:val="0"/>
              <w:spacing w:line="560" w:lineRule="exact"/>
              <w:jc w:val="center"/>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18</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下午午）</w:t>
            </w: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7E0EF569">
            <w:pPr>
              <w:pStyle w:val="10"/>
              <w:widowControl w:val="0"/>
              <w:spacing w:before="0" w:beforeAutospacing="0" w:after="0" w:afterAutospacing="0" w:line="440" w:lineRule="exact"/>
              <w:jc w:val="center"/>
              <w:textAlignment w:val="baseline"/>
              <w:rPr>
                <w:rFonts w:hint="eastAsia" w:ascii="楷体" w:hAnsi="楷体" w:eastAsia="楷体" w:cs="楷体"/>
                <w:b w:val="0"/>
                <w:i w:val="0"/>
                <w:snapToGrid w:val="0"/>
                <w:color w:val="000000"/>
                <w:kern w:val="0"/>
                <w:sz w:val="24"/>
                <w:szCs w:val="24"/>
                <w:lang w:val="en-US" w:eastAsia="en-US" w:bidi="ar-SA"/>
              </w:rPr>
            </w:pPr>
            <w:r>
              <w:rPr>
                <w:rFonts w:hint="eastAsia" w:ascii="楷体" w:hAnsi="楷体" w:eastAsia="楷体" w:cs="楷体"/>
                <w:b w:val="0"/>
                <w:i w:val="0"/>
                <w:sz w:val="24"/>
                <w:szCs w:val="24"/>
              </w:rPr>
              <w:t>能源化工低碳</w:t>
            </w:r>
            <w:r>
              <w:rPr>
                <w:rFonts w:hint="eastAsia" w:ascii="楷体" w:hAnsi="楷体" w:eastAsia="楷体" w:cs="楷体"/>
                <w:b w:val="0"/>
                <w:i w:val="0"/>
                <w:sz w:val="24"/>
                <w:szCs w:val="24"/>
                <w:lang w:val="en-US" w:eastAsia="zh-CN"/>
              </w:rPr>
              <w:t>高质量</w:t>
            </w:r>
            <w:r>
              <w:rPr>
                <w:rFonts w:hint="eastAsia" w:ascii="楷体" w:hAnsi="楷体" w:eastAsia="楷体" w:cs="楷体"/>
                <w:b w:val="0"/>
                <w:i w:val="0"/>
                <w:sz w:val="24"/>
                <w:szCs w:val="24"/>
              </w:rPr>
              <w:t>发展高峰论坛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4943DE3">
            <w:pPr>
              <w:pStyle w:val="10"/>
              <w:widowControl w:val="0"/>
              <w:spacing w:before="0" w:beforeAutospacing="0" w:after="0" w:afterAutospacing="0" w:line="440" w:lineRule="exact"/>
              <w:jc w:val="center"/>
              <w:textAlignment w:val="baseline"/>
              <w:rPr>
                <w:rFonts w:hint="default" w:ascii="楷体" w:hAnsi="楷体" w:eastAsia="楷体" w:cs="楷体"/>
                <w:b w:val="0"/>
                <w:i w:val="0"/>
                <w:snapToGrid w:val="0"/>
                <w:color w:val="000000"/>
                <w:kern w:val="0"/>
                <w:sz w:val="24"/>
                <w:szCs w:val="24"/>
                <w:lang w:val="en-US" w:eastAsia="zh-CN" w:bidi="ar-SA"/>
              </w:rPr>
            </w:pPr>
            <w:r>
              <w:rPr>
                <w:rFonts w:hint="eastAsia" w:ascii="楷体" w:hAnsi="楷体" w:eastAsia="楷体" w:cs="楷体"/>
                <w:b w:val="0"/>
                <w:i w:val="0"/>
                <w:snapToGrid w:val="0"/>
                <w:color w:val="000000"/>
                <w:kern w:val="0"/>
                <w:sz w:val="24"/>
                <w:szCs w:val="24"/>
                <w:lang w:val="en-US" w:eastAsia="zh-CN" w:bidi="ar-SA"/>
              </w:rPr>
              <w:t>论坛区</w:t>
            </w:r>
          </w:p>
        </w:tc>
      </w:tr>
      <w:tr w14:paraId="6D95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5BF95686">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0F32DE81">
            <w:pPr>
              <w:pStyle w:val="10"/>
              <w:widowControl w:val="0"/>
              <w:spacing w:before="0" w:beforeAutospacing="0" w:after="0" w:afterAutospacing="0" w:line="440" w:lineRule="exact"/>
              <w:jc w:val="center"/>
              <w:textAlignment w:val="baseline"/>
              <w:rPr>
                <w:rFonts w:hint="default" w:ascii="楷体" w:hAnsi="楷体" w:eastAsia="楷体" w:cs="楷体"/>
                <w:b w:val="0"/>
                <w:i w:val="0"/>
                <w:snapToGrid w:val="0"/>
                <w:color w:val="000000"/>
                <w:kern w:val="0"/>
                <w:sz w:val="24"/>
                <w:szCs w:val="24"/>
                <w:lang w:val="en-US" w:eastAsia="zh-CN" w:bidi="ar-SA"/>
              </w:rPr>
            </w:pPr>
            <w:r>
              <w:rPr>
                <w:rFonts w:hint="eastAsia" w:ascii="楷体" w:hAnsi="楷体" w:eastAsia="楷体" w:cs="楷体"/>
                <w:b w:val="0"/>
                <w:i w:val="0"/>
                <w:snapToGrid w:val="0"/>
                <w:color w:val="000000"/>
                <w:kern w:val="0"/>
                <w:sz w:val="24"/>
                <w:szCs w:val="24"/>
                <w:lang w:val="en-US" w:eastAsia="zh-CN" w:bidi="ar-SA"/>
              </w:rPr>
              <w:t>工业安全防爆技术认证论坛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6DA5A6E0">
            <w:pPr>
              <w:pStyle w:val="10"/>
              <w:widowControl w:val="0"/>
              <w:spacing w:before="0" w:beforeAutospacing="0" w:after="0" w:afterAutospacing="0" w:line="440" w:lineRule="exact"/>
              <w:jc w:val="center"/>
              <w:textAlignment w:val="baseline"/>
              <w:rPr>
                <w:rFonts w:hint="eastAsia" w:ascii="楷体" w:hAnsi="楷体" w:eastAsia="楷体" w:cs="楷体"/>
                <w:b w:val="0"/>
                <w:i w:val="0"/>
                <w:snapToGrid w:val="0"/>
                <w:color w:val="000000"/>
                <w:kern w:val="0"/>
                <w:sz w:val="24"/>
                <w:szCs w:val="24"/>
                <w:lang w:val="en-US" w:eastAsia="zh-CN" w:bidi="ar-SA"/>
              </w:rPr>
            </w:pPr>
            <w:r>
              <w:rPr>
                <w:rFonts w:hint="eastAsia" w:ascii="楷体" w:hAnsi="楷体" w:eastAsia="楷体" w:cs="楷体"/>
                <w:b w:val="0"/>
                <w:i w:val="0"/>
                <w:sz w:val="24"/>
                <w:szCs w:val="24"/>
                <w:lang w:val="en-US" w:eastAsia="zh-CN"/>
              </w:rPr>
              <w:t>会议区</w:t>
            </w:r>
          </w:p>
        </w:tc>
      </w:tr>
      <w:tr w14:paraId="578F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1DBE4E3A">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31B8C70A">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化学试剂暨实验室设备仪器、检验检测技术高峰论坛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3918CB24">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kern w:val="0"/>
                <w:sz w:val="24"/>
                <w:szCs w:val="24"/>
                <w:lang w:val="en-US" w:eastAsia="zh-CN"/>
              </w:rPr>
              <w:t>论坛</w:t>
            </w:r>
            <w:r>
              <w:rPr>
                <w:rFonts w:hint="eastAsia" w:ascii="楷体" w:hAnsi="楷体" w:eastAsia="楷体" w:cs="楷体"/>
                <w:b w:val="0"/>
                <w:i w:val="0"/>
                <w:color w:val="000000"/>
                <w:kern w:val="0"/>
                <w:sz w:val="24"/>
                <w:szCs w:val="24"/>
              </w:rPr>
              <w:t>区</w:t>
            </w:r>
          </w:p>
        </w:tc>
      </w:tr>
      <w:tr w14:paraId="7DBB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continue"/>
            <w:tcBorders>
              <w:top w:val="single" w:color="BDD6EE" w:themeColor="accent1" w:themeTint="66" w:sz="6" w:space="0"/>
              <w:left w:val="single" w:color="5B9BD5" w:themeColor="accent1" w:sz="6" w:space="0"/>
              <w:bottom w:val="single" w:color="5B9BD5" w:themeColor="accent1" w:sz="6" w:space="0"/>
              <w:right w:val="single" w:color="BDD6EE" w:themeColor="accent1" w:themeTint="66" w:sz="6" w:space="0"/>
            </w:tcBorders>
            <w:shd w:val="clear" w:color="auto" w:fill="EEF5FA" w:themeFill="accent1" w:themeFillTint="19"/>
            <w:noWrap w:val="0"/>
            <w:vAlign w:val="center"/>
          </w:tcPr>
          <w:p w14:paraId="44BFB9FD">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5B9BD5" w:themeColor="accent1" w:sz="6" w:space="0"/>
              <w:right w:val="single" w:color="BDD6EE" w:themeColor="accent1" w:themeTint="66" w:sz="6" w:space="0"/>
            </w:tcBorders>
            <w:shd w:val="clear" w:color="auto" w:fill="EEF5FA" w:themeFill="accent1" w:themeFillTint="19"/>
            <w:noWrap w:val="0"/>
            <w:vAlign w:val="center"/>
          </w:tcPr>
          <w:p w14:paraId="6BAEFB33">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知名</w:t>
            </w:r>
            <w:r>
              <w:rPr>
                <w:rFonts w:hint="eastAsia" w:ascii="楷体" w:hAnsi="楷体" w:eastAsia="楷体" w:cs="楷体"/>
                <w:b w:val="0"/>
                <w:i w:val="0"/>
                <w:color w:val="000000"/>
                <w:sz w:val="24"/>
                <w:szCs w:val="24"/>
              </w:rPr>
              <w:t>企业评选</w:t>
            </w:r>
            <w:r>
              <w:rPr>
                <w:rFonts w:hint="eastAsia" w:ascii="楷体" w:hAnsi="楷体" w:eastAsia="楷体" w:cs="楷体"/>
                <w:b w:val="0"/>
                <w:i w:val="0"/>
                <w:color w:val="000000"/>
                <w:sz w:val="24"/>
                <w:szCs w:val="24"/>
                <w:lang w:val="en-US" w:eastAsia="zh-CN"/>
              </w:rPr>
              <w:t>大会</w:t>
            </w:r>
            <w:r>
              <w:rPr>
                <w:rFonts w:hint="eastAsia" w:ascii="楷体" w:hAnsi="楷体" w:eastAsia="楷体" w:cs="楷体"/>
                <w:b w:val="0"/>
                <w:i w:val="0"/>
                <w:color w:val="000000"/>
                <w:sz w:val="24"/>
                <w:szCs w:val="24"/>
              </w:rPr>
              <w:t>及</w:t>
            </w:r>
            <w:r>
              <w:rPr>
                <w:rFonts w:hint="eastAsia" w:ascii="楷体" w:hAnsi="楷体" w:eastAsia="楷体" w:cs="楷体"/>
                <w:b w:val="0"/>
                <w:i w:val="0"/>
                <w:color w:val="000000"/>
                <w:sz w:val="24"/>
                <w:szCs w:val="24"/>
                <w:lang w:val="en-US" w:eastAsia="zh-CN"/>
              </w:rPr>
              <w:t>优秀人员</w:t>
            </w:r>
            <w:r>
              <w:rPr>
                <w:rFonts w:hint="eastAsia" w:ascii="楷体" w:hAnsi="楷体" w:eastAsia="楷体" w:cs="楷体"/>
                <w:b w:val="0"/>
                <w:i w:val="0"/>
                <w:color w:val="000000"/>
                <w:sz w:val="24"/>
                <w:szCs w:val="24"/>
              </w:rPr>
              <w:t>表彰活动</w:t>
            </w:r>
          </w:p>
        </w:tc>
        <w:tc>
          <w:tcPr>
            <w:tcW w:w="1970" w:type="dxa"/>
            <w:tcBorders>
              <w:top w:val="single" w:color="BDD6EE" w:themeColor="accent1" w:themeTint="66" w:sz="6" w:space="0"/>
              <w:left w:val="single" w:color="BDD6EE" w:themeColor="accent1" w:themeTint="66" w:sz="6" w:space="0"/>
              <w:bottom w:val="single" w:color="5B9BD5" w:themeColor="accent1" w:sz="6" w:space="0"/>
              <w:right w:val="single" w:color="5B9BD5" w:themeColor="accent1" w:sz="6" w:space="0"/>
            </w:tcBorders>
            <w:shd w:val="clear" w:color="auto" w:fill="EEF5FA" w:themeFill="accent1" w:themeFillTint="19"/>
            <w:noWrap w:val="0"/>
            <w:vAlign w:val="center"/>
          </w:tcPr>
          <w:p w14:paraId="02FB8469">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kern w:val="0"/>
                <w:sz w:val="24"/>
                <w:szCs w:val="24"/>
              </w:rPr>
              <w:t>开幕式区</w:t>
            </w:r>
          </w:p>
        </w:tc>
      </w:tr>
    </w:tbl>
    <w:p w14:paraId="5ECCFB8C">
      <w:pPr>
        <w:keepNext w:val="0"/>
        <w:keepLines w:val="0"/>
        <w:pageBreakBefore w:val="0"/>
        <w:widowControl w:val="0"/>
        <w:kinsoku/>
        <w:wordWrap/>
        <w:overflowPunct/>
        <w:topLinePunct w:val="0"/>
        <w:autoSpaceDE/>
        <w:bidi w:val="0"/>
        <w:adjustRightInd/>
        <w:snapToGrid/>
        <w:spacing w:line="380" w:lineRule="exact"/>
        <w:ind w:firstLine="4320" w:firstLineChars="1800"/>
        <w:textAlignment w:val="auto"/>
        <w:rPr>
          <w:rFonts w:hint="eastAsia" w:ascii="楷体" w:hAnsi="楷体" w:eastAsia="楷体" w:cs="楷体"/>
          <w:sz w:val="24"/>
          <w:szCs w:val="24"/>
        </w:rPr>
      </w:pPr>
      <w:r>
        <w:rPr>
          <w:rFonts w:hint="eastAsia" w:ascii="楷体" w:hAnsi="楷体" w:eastAsia="楷体" w:cs="楷体"/>
          <w:sz w:val="24"/>
          <w:szCs w:val="24"/>
        </w:rPr>
        <w:t xml:space="preserve">（以上内容如有调整,具体安排以实际为准） </w:t>
      </w:r>
    </w:p>
    <w:p w14:paraId="4A4B06CD">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合作媒体：</w:t>
      </w:r>
    </w:p>
    <w:p w14:paraId="2C99602B">
      <w:pPr>
        <w:ind w:firstLine="240" w:firstLineChars="10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中国化工报、中国石油石化杂志、河南法制报、河南日报、河南广播电视台、大河报豫视频、河南商报、顶端新闻客户端、郑州广播电视台、郑州日报、郑州晚报、郑州新闻网、中原网、河南经济报、郑州新闻客户端、大河财立方、大河网等专业媒体。</w:t>
      </w:r>
    </w:p>
    <w:p w14:paraId="401F0ED8">
      <w:pPr>
        <w:rPr>
          <w:rFonts w:hint="eastAsia"/>
          <w:lang w:eastAsia="zh-CN"/>
        </w:rPr>
      </w:pPr>
      <w:r>
        <w:rPr>
          <w:rFonts w:hint="eastAsia" w:ascii="方正楷体_GB2312" w:hAnsi="方正楷体_GB2312" w:eastAsia="方正楷体_GB2312" w:cs="方正楷体_GB2312"/>
          <w:b w:val="0"/>
          <w:bCs w:val="0"/>
          <w:sz w:val="24"/>
          <w:szCs w:val="24"/>
          <w:lang w:val="en-US" w:eastAsia="zh-CN"/>
        </w:rPr>
        <w:t>门户网站：今日头条、凤凰网、天天快报、网易新闻、搜狐新闻、腾讯新闻、新华日报、新浪网、中国网、中华网、环球网、和讯网、千龙、tom、北方网、大众网、中国新闻网、东方经济网、第一产经网、华财网、新财网、中国宏观经济网、腾讯视频、优酷视频、爱奇艺、搜狐视频等专业媒体。</w:t>
      </w:r>
    </w:p>
    <w:p w14:paraId="1104444B">
      <w:pPr>
        <w:keepNext w:val="0"/>
        <w:keepLines w:val="0"/>
        <w:pageBreakBefore w:val="0"/>
        <w:widowControl w:val="0"/>
        <w:kinsoku/>
        <w:wordWrap/>
        <w:overflowPunct/>
        <w:topLinePunct w:val="0"/>
        <w:autoSpaceDE/>
        <w:bidi w:val="0"/>
        <w:adjustRightInd/>
        <w:snapToGrid/>
        <w:spacing w:line="380" w:lineRule="exact"/>
        <w:textAlignment w:val="auto"/>
        <w:rPr>
          <w:rFonts w:hint="eastAsia" w:ascii="方正楷体_GB2312" w:hAnsi="方正楷体_GB2312" w:eastAsia="方正楷体_GB2312" w:cs="方正楷体_GB2312"/>
          <w:b/>
          <w:bCs/>
          <w:sz w:val="24"/>
          <w:szCs w:val="24"/>
          <w:lang w:eastAsia="zh-CN"/>
        </w:rPr>
      </w:pPr>
      <w:r>
        <w:rPr>
          <w:rFonts w:hint="eastAsia" w:ascii="方正楷体_GB2312" w:hAnsi="方正楷体_GB2312" w:eastAsia="方正楷体_GB2312" w:cs="方正楷体_GB2312"/>
          <w:b/>
          <w:bCs/>
          <w:sz w:val="24"/>
          <w:szCs w:val="24"/>
          <w:lang w:val="en-US" w:eastAsia="zh-CN"/>
        </w:rPr>
        <w:t>八、观众来源</w:t>
      </w:r>
    </w:p>
    <w:p w14:paraId="02464ECD">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1、采购商及观众邀请河南及中部六省地区化工企业、化学药等化工企业，科研院校、实验室与药品检测机构，石化行业买家、医药化工买家、涂料染料买家、农药化肥买家、化工原料买家、工程公司、化工园区、媒体组团：化工707、海川化工、马后炮化工、广化交易、流程工业、化工邦、环保在线、协会组团</w:t>
      </w:r>
    </w:p>
    <w:p w14:paraId="00EA884F">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等，行业主管部门、学会\协会、行业媒体等行业相关人员参观洽谈！</w:t>
      </w:r>
    </w:p>
    <w:p w14:paraId="0EA1EDB3">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t>2、参展理由：</w:t>
      </w: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我们将通过以下方式为展会邀请到高质量的专业观众：将通过超过100家的大型网络媒体发布本届展会的文字预告信息和展会的软性新闻稿，篇数超过500篇。本届展会计划在其它相关展会派发、邮寄等方式发出邀请函、入场券、参观指南等展会相关邀请信息5万张，群发传真2万份，群发短信20万条，针对专业买家，实行预约登记制，使观众质量得到保证。针对政府部门、行业协会和专业机构的高层领导，展会办公室通过电话联系、上门拜访、峰会推广等方式，广泛邀请业界高层人士到会。</w:t>
      </w:r>
    </w:p>
    <w:p w14:paraId="7F1DDBAA">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3、部分优质买家：化工产品生产企业；巴斯夫、埃克森美孚、朗盛化学、三井化学、默克化工、阿克苏诺贝尔、沙特基础工业、三菱化学、林德、SK化学、LG化学、住友化学、大金氟化工、日本AGC集团、艾敏斯帝、赢创、陶氏、阿克苏诺贝尔、科莱恩化工、安克曼化工、杜邦、阿科玛、瓦克化学、索尔维、三井化学、辽宁宝来集团、浙江卫星石化、中国平煤神马集团、万华化学、桐昆集团、恒逸集团、山东寿光鲁清石化、海科集团、龙盛集团、宝钢化工、液化空气等</w:t>
      </w:r>
    </w:p>
    <w:p w14:paraId="337B41CD">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4、贸易相关：日化、化工进口商、出口商、代理商 / 分销商、协会 / 媒体、制造商；</w:t>
      </w:r>
    </w:p>
    <w:p w14:paraId="648976A9">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5、政府部门：医药、化工、出入境等政府机构和贸易组织、研究所和大学、科研机构；</w:t>
      </w:r>
    </w:p>
    <w:p w14:paraId="74645854">
      <w:pPr>
        <w:pStyle w:val="6"/>
        <w:numPr>
          <w:ilvl w:val="0"/>
          <w:numId w:val="0"/>
        </w:numPr>
        <w:jc w:val="left"/>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t>九、战略推广合作机会</w:t>
      </w:r>
    </w:p>
    <w:p w14:paraId="5DFD1C6E">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为提升企业的品牌知名度和美誉度，彰显卓越的产品品质及服务，使企业参加本届展会达到最优的效果，组委会特提供多种战略合作方案。</w:t>
      </w:r>
    </w:p>
    <w:p w14:paraId="3AADBEAB">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作为战略合作单位参与本届展会，将得到以下8大项服务与宣传：</w:t>
      </w:r>
    </w:p>
    <w:p w14:paraId="3767E610">
      <w:pPr>
        <w:keepNext w:val="0"/>
        <w:keepLines w:val="0"/>
        <w:pageBreakBefore w:val="0"/>
        <w:widowControl w:val="0"/>
        <w:kinsoku/>
        <w:wordWrap/>
        <w:overflowPunct/>
        <w:topLinePunct w:val="0"/>
        <w:autoSpaceDE/>
        <w:bidi w:val="0"/>
        <w:adjustRightInd/>
        <w:snapToGrid/>
        <w:spacing w:line="380" w:lineRule="exact"/>
        <w:textAlignment w:val="auto"/>
        <w:rPr>
          <w:rFonts w:hint="eastAsia" w:ascii="方正楷体_GB2312" w:hAnsi="方正楷体_GB2312" w:eastAsia="方正楷体_GB2312" w:cs="方正楷体_GB2312"/>
          <w:b/>
          <w:bCs/>
          <w:sz w:val="24"/>
          <w:szCs w:val="24"/>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4496"/>
      </w:tblGrid>
      <w:tr w14:paraId="4CFD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64"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29C9DAC3">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1、促进贵企与政府部门建立和谐关系  </w:t>
            </w:r>
          </w:p>
        </w:tc>
        <w:tc>
          <w:tcPr>
            <w:tcW w:w="4496"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1969D81F">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2、贵企领导作为特邀嘉宾出席展会开幕式</w:t>
            </w:r>
          </w:p>
        </w:tc>
      </w:tr>
      <w:tr w14:paraId="3684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E0BD7B">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3、电视台、报纸媒体专访、大会官方网站重点宣传 </w:t>
            </w:r>
          </w:p>
        </w:tc>
        <w:tc>
          <w:tcPr>
            <w:tcW w:w="44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9EF8D">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4、室内显要展区优先选择权</w:t>
            </w:r>
          </w:p>
        </w:tc>
      </w:tr>
      <w:tr w14:paraId="19ED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64"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2D85BAF0">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5、量身定做“一对一”专业观众邀请工作   </w:t>
            </w:r>
          </w:p>
        </w:tc>
        <w:tc>
          <w:tcPr>
            <w:tcW w:w="4496"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60CD45BB">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6、签约仪式场地及专场推荐会一场</w:t>
            </w:r>
          </w:p>
        </w:tc>
      </w:tr>
      <w:tr w14:paraId="3C9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61547">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7、展前快讯、会刊、采购指南及群发短信等特别宣传</w:t>
            </w:r>
          </w:p>
        </w:tc>
        <w:tc>
          <w:tcPr>
            <w:tcW w:w="44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DA894D">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8、会场户外显著广告位</w:t>
            </w:r>
          </w:p>
        </w:tc>
      </w:tr>
      <w:tr w14:paraId="599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60" w:type="dxa"/>
            <w:gridSpan w:val="2"/>
            <w:tcBorders>
              <w:top w:val="single" w:color="000000" w:sz="8" w:space="0"/>
              <w:left w:val="single" w:color="000000" w:sz="8" w:space="0"/>
              <w:bottom w:val="single" w:color="000000" w:sz="8" w:space="0"/>
              <w:right w:val="single" w:color="000000" w:sz="8" w:space="0"/>
            </w:tcBorders>
            <w:shd w:val="clear" w:color="auto" w:fill="BAEBF1"/>
            <w:vAlign w:val="center"/>
          </w:tcPr>
          <w:p w14:paraId="5C35FB23">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rPr>
            </w:pPr>
            <w:r>
              <w:rPr>
                <w:rFonts w:hint="eastAsia" w:ascii="方正楷体_GB2312" w:hAnsi="方正楷体_GB2312" w:eastAsia="方正楷体_GB2312" w:cs="方正楷体_GB2312"/>
                <w:b/>
                <w:bCs/>
                <w:sz w:val="24"/>
                <w:szCs w:val="24"/>
                <w:highlight w:val="none"/>
              </w:rPr>
              <w:t>【战略合作级别】</w:t>
            </w:r>
            <w:r>
              <w:rPr>
                <w:rFonts w:hint="eastAsia" w:ascii="方正楷体_GB2312" w:hAnsi="方正楷体_GB2312" w:eastAsia="方正楷体_GB2312" w:cs="方正楷体_GB2312"/>
                <w:b/>
                <w:bCs/>
                <w:sz w:val="24"/>
                <w:szCs w:val="24"/>
                <w:highlight w:val="none"/>
                <w:lang w:val="en-US" w:eastAsia="zh-CN"/>
              </w:rPr>
              <w:t>10</w:t>
            </w:r>
            <w:r>
              <w:rPr>
                <w:rFonts w:hint="eastAsia" w:ascii="方正楷体_GB2312" w:hAnsi="方正楷体_GB2312" w:eastAsia="方正楷体_GB2312" w:cs="方正楷体_GB2312"/>
                <w:b/>
                <w:bCs/>
                <w:sz w:val="24"/>
                <w:szCs w:val="24"/>
                <w:highlight w:val="none"/>
              </w:rPr>
              <w:t>万、</w:t>
            </w:r>
            <w:r>
              <w:rPr>
                <w:rFonts w:hint="eastAsia" w:ascii="方正楷体_GB2312" w:hAnsi="方正楷体_GB2312" w:eastAsia="方正楷体_GB2312" w:cs="方正楷体_GB2312"/>
                <w:b/>
                <w:bCs/>
                <w:sz w:val="24"/>
                <w:szCs w:val="24"/>
                <w:highlight w:val="none"/>
                <w:lang w:val="en-US" w:eastAsia="zh-CN"/>
              </w:rPr>
              <w:t>30</w:t>
            </w:r>
            <w:r>
              <w:rPr>
                <w:rFonts w:hint="eastAsia" w:ascii="方正楷体_GB2312" w:hAnsi="方正楷体_GB2312" w:eastAsia="方正楷体_GB2312" w:cs="方正楷体_GB2312"/>
                <w:b/>
                <w:bCs/>
                <w:sz w:val="24"/>
                <w:szCs w:val="24"/>
                <w:highlight w:val="none"/>
              </w:rPr>
              <w:t>万、</w:t>
            </w:r>
            <w:r>
              <w:rPr>
                <w:rFonts w:hint="eastAsia" w:ascii="方正楷体_GB2312" w:hAnsi="方正楷体_GB2312" w:eastAsia="方正楷体_GB2312" w:cs="方正楷体_GB2312"/>
                <w:b/>
                <w:bCs/>
                <w:sz w:val="24"/>
                <w:szCs w:val="24"/>
                <w:highlight w:val="none"/>
                <w:lang w:val="en-US" w:eastAsia="zh-CN"/>
              </w:rPr>
              <w:t>50</w:t>
            </w:r>
            <w:r>
              <w:rPr>
                <w:rFonts w:hint="eastAsia" w:ascii="方正楷体_GB2312" w:hAnsi="方正楷体_GB2312" w:eastAsia="方正楷体_GB2312" w:cs="方正楷体_GB2312"/>
                <w:b/>
                <w:bCs/>
                <w:sz w:val="24"/>
                <w:szCs w:val="24"/>
                <w:highlight w:val="none"/>
              </w:rPr>
              <w:t>万、</w:t>
            </w:r>
            <w:r>
              <w:rPr>
                <w:rFonts w:hint="eastAsia" w:ascii="方正楷体_GB2312" w:hAnsi="方正楷体_GB2312" w:eastAsia="方正楷体_GB2312" w:cs="方正楷体_GB2312"/>
                <w:b/>
                <w:bCs/>
                <w:sz w:val="24"/>
                <w:szCs w:val="24"/>
                <w:highlight w:val="none"/>
                <w:lang w:val="en-US" w:eastAsia="zh-CN"/>
              </w:rPr>
              <w:t>70</w:t>
            </w:r>
            <w:r>
              <w:rPr>
                <w:rFonts w:hint="eastAsia" w:ascii="方正楷体_GB2312" w:hAnsi="方正楷体_GB2312" w:eastAsia="方正楷体_GB2312" w:cs="方正楷体_GB2312"/>
                <w:b/>
                <w:bCs/>
                <w:sz w:val="24"/>
                <w:szCs w:val="24"/>
                <w:highlight w:val="none"/>
              </w:rPr>
              <w:t>万等，（具体内容请与组织机构联系）。</w:t>
            </w:r>
          </w:p>
        </w:tc>
      </w:tr>
    </w:tbl>
    <w:p w14:paraId="13447CCA">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_GB2312" w:hAnsi="方正楷体_GB2312" w:eastAsia="方正楷体_GB2312" w:cs="方正楷体_GB2312"/>
          <w:b/>
          <w:bCs/>
          <w:color w:val="0070C0"/>
          <w:sz w:val="24"/>
          <w:szCs w:val="24"/>
          <w:lang w:val="en-US" w:eastAsia="zh-CN"/>
        </w:rPr>
      </w:pPr>
    </w:p>
    <w:p w14:paraId="6AAFFDC1">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
          <w:bCs/>
          <w:color w:val="0070C0"/>
          <w:sz w:val="24"/>
          <w:szCs w:val="24"/>
          <w:lang w:val="en-US" w:eastAsia="zh-CN"/>
        </w:rPr>
        <w:t>【成为协办】</w:t>
      </w:r>
    </w:p>
    <w:p w14:paraId="6788707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楷体_GB2312" w:hAnsi="方正楷体_GB2312" w:eastAsia="方正楷体_GB2312" w:cs="方正楷体_GB2312"/>
          <w:bCs/>
          <w:sz w:val="24"/>
          <w:szCs w:val="24"/>
          <w:shd w:val="clear" w:color="auto" w:fill="FFFFFF"/>
        </w:rPr>
      </w:pPr>
      <w:r>
        <w:rPr>
          <w:rFonts w:hint="eastAsia" w:ascii="方正楷体_GB2312" w:hAnsi="方正楷体_GB2312" w:eastAsia="方正楷体_GB2312" w:cs="方正楷体_GB2312"/>
          <w:bCs/>
          <w:sz w:val="24"/>
          <w:szCs w:val="24"/>
          <w:shd w:val="clear" w:color="auto" w:fill="FFFFFF"/>
        </w:rPr>
        <w:t xml:space="preserve"> 冠名、协办、赞助参与本届盛会，将得到10大项的服务或宣传，向组委会索取相关方案和回报条例！</w:t>
      </w:r>
    </w:p>
    <w:p w14:paraId="4F1DE58E">
      <w:pPr>
        <w:rPr>
          <w:rFonts w:hint="eastAsia" w:ascii="方正楷体_GBK" w:hAnsi="方正楷体_GBK" w:eastAsia="方正楷体_GBK" w:cs="方正楷体_GBK"/>
          <w:b/>
          <w:bCs/>
          <w:sz w:val="24"/>
          <w:szCs w:val="24"/>
          <w:lang w:eastAsia="zh-CN"/>
        </w:rPr>
      </w:pPr>
      <w:r>
        <w:rPr>
          <w:rFonts w:hint="eastAsia" w:ascii="方正楷体_GB2312" w:hAnsi="方正楷体_GB2312" w:eastAsia="方正楷体_GB2312" w:cs="方正楷体_GB2312"/>
          <w:b/>
          <w:bCs/>
          <w:sz w:val="24"/>
          <w:szCs w:val="24"/>
          <w:lang w:val="en-US" w:eastAsia="zh-CN"/>
        </w:rPr>
        <w:t>九、参展费用：</w:t>
      </w:r>
    </w:p>
    <w:tbl>
      <w:tblPr>
        <w:tblStyle w:val="11"/>
        <w:tblpPr w:leftFromText="180" w:rightFromText="180" w:vertAnchor="text" w:horzAnchor="page" w:tblpX="1057" w:tblpY="328"/>
        <w:tblOverlap w:val="never"/>
        <w:tblW w:w="99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5"/>
        <w:gridCol w:w="2900"/>
        <w:gridCol w:w="2650"/>
        <w:gridCol w:w="2723"/>
      </w:tblGrid>
      <w:tr w14:paraId="65A03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4BACC6"/>
            <w:vAlign w:val="center"/>
          </w:tcPr>
          <w:p w14:paraId="52680AF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lang w:val="en-US" w:eastAsia="zh-CN"/>
              </w:rPr>
            </w:pPr>
            <w:r>
              <w:rPr>
                <w:rFonts w:hint="eastAsia" w:ascii="方正楷体_GBK" w:hAnsi="方正楷体_GBK" w:eastAsia="方正楷体_GBK" w:cs="方正楷体_GBK"/>
                <w:b/>
                <w:bCs/>
                <w:color w:val="FFFFFF"/>
                <w:sz w:val="24"/>
                <w:szCs w:val="24"/>
                <w:lang w:val="en-US" w:eastAsia="zh-CN"/>
              </w:rPr>
              <w:t>展位设置</w:t>
            </w:r>
          </w:p>
        </w:tc>
        <w:tc>
          <w:tcPr>
            <w:tcW w:w="2900" w:type="dxa"/>
            <w:tcBorders>
              <w:top w:val="single" w:color="4BACC6" w:sz="8" w:space="0"/>
              <w:left w:val="dotted" w:color="auto" w:sz="8" w:space="0"/>
              <w:bottom w:val="single" w:color="4BACC6" w:sz="8" w:space="0"/>
              <w:right w:val="dotted" w:color="auto" w:sz="8" w:space="0"/>
            </w:tcBorders>
            <w:shd w:val="clear" w:color="auto" w:fill="4BACC6"/>
            <w:vAlign w:val="center"/>
          </w:tcPr>
          <w:p w14:paraId="1BED8AC8">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rPr>
            </w:pPr>
            <w:r>
              <w:rPr>
                <w:rFonts w:hint="eastAsia" w:ascii="方正楷体_GBK" w:hAnsi="方正楷体_GBK" w:eastAsia="方正楷体_GBK" w:cs="方正楷体_GBK"/>
                <w:b/>
                <w:bCs/>
                <w:color w:val="FFFFFF"/>
                <w:sz w:val="24"/>
                <w:szCs w:val="24"/>
              </w:rPr>
              <w:t>规格及要求</w:t>
            </w:r>
          </w:p>
        </w:tc>
        <w:tc>
          <w:tcPr>
            <w:tcW w:w="2650" w:type="dxa"/>
            <w:tcBorders>
              <w:top w:val="single" w:color="4BACC6" w:sz="8" w:space="0"/>
              <w:left w:val="dotted" w:color="auto" w:sz="8" w:space="0"/>
              <w:bottom w:val="single" w:color="4BACC6" w:sz="8" w:space="0"/>
              <w:right w:val="dotted" w:color="auto" w:sz="8" w:space="0"/>
            </w:tcBorders>
            <w:shd w:val="clear" w:color="auto" w:fill="4BACC6"/>
            <w:vAlign w:val="center"/>
          </w:tcPr>
          <w:p w14:paraId="5E3010A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rPr>
            </w:pPr>
            <w:r>
              <w:rPr>
                <w:rFonts w:hint="eastAsia" w:ascii="方正楷体_GBK" w:hAnsi="方正楷体_GBK" w:eastAsia="方正楷体_GBK" w:cs="方正楷体_GBK"/>
                <w:b/>
                <w:bCs/>
                <w:color w:val="FFFFFF"/>
                <w:sz w:val="24"/>
                <w:szCs w:val="24"/>
                <w:lang w:val="en-US" w:eastAsia="zh-CN"/>
              </w:rPr>
              <w:t>国内企业</w:t>
            </w:r>
          </w:p>
        </w:tc>
        <w:tc>
          <w:tcPr>
            <w:tcW w:w="2723" w:type="dxa"/>
            <w:tcBorders>
              <w:top w:val="single" w:color="4BACC6" w:sz="8" w:space="0"/>
              <w:left w:val="dotted" w:color="auto" w:sz="8" w:space="0"/>
              <w:bottom w:val="single" w:color="4BACC6" w:sz="8" w:space="0"/>
              <w:right w:val="single" w:color="4BACC6" w:sz="8" w:space="0"/>
            </w:tcBorders>
            <w:shd w:val="clear" w:color="auto" w:fill="4BACC6"/>
            <w:vAlign w:val="center"/>
          </w:tcPr>
          <w:p w14:paraId="0787628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rPr>
            </w:pPr>
            <w:r>
              <w:rPr>
                <w:rFonts w:hint="eastAsia" w:ascii="方正楷体_GBK" w:hAnsi="方正楷体_GBK" w:eastAsia="方正楷体_GBK" w:cs="方正楷体_GBK"/>
                <w:b/>
                <w:bCs/>
                <w:color w:val="FFFFFF"/>
                <w:sz w:val="24"/>
                <w:szCs w:val="24"/>
                <w:lang w:val="en-US" w:eastAsia="zh-CN"/>
              </w:rPr>
              <w:t>外资企业</w:t>
            </w:r>
          </w:p>
        </w:tc>
      </w:tr>
      <w:tr w14:paraId="6615C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E9F1F5"/>
            <w:vAlign w:val="center"/>
          </w:tcPr>
          <w:p w14:paraId="43D89214">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普通单开</w:t>
            </w:r>
            <w:r>
              <w:rPr>
                <w:rFonts w:hint="eastAsia" w:ascii="方正楷体_GBK" w:hAnsi="方正楷体_GBK" w:eastAsia="方正楷体_GBK" w:cs="方正楷体_GBK"/>
                <w:color w:val="000000"/>
                <w:sz w:val="24"/>
                <w:szCs w:val="24"/>
              </w:rPr>
              <w:t>展位</w:t>
            </w:r>
          </w:p>
        </w:tc>
        <w:tc>
          <w:tcPr>
            <w:tcW w:w="2900" w:type="dxa"/>
            <w:tcBorders>
              <w:top w:val="single" w:color="4BACC6" w:sz="8" w:space="0"/>
              <w:left w:val="dotted" w:color="auto" w:sz="8" w:space="0"/>
              <w:bottom w:val="single" w:color="4BACC6" w:sz="8" w:space="0"/>
              <w:right w:val="dotted" w:color="auto" w:sz="8" w:space="0"/>
            </w:tcBorders>
            <w:shd w:val="clear" w:color="auto" w:fill="E9F1F5"/>
            <w:vAlign w:val="center"/>
          </w:tcPr>
          <w:p w14:paraId="3801EA23">
            <w:pPr>
              <w:keepNext w:val="0"/>
              <w:keepLines w:val="0"/>
              <w:pageBreakBefore w:val="0"/>
              <w:widowControl/>
              <w:suppressLineNumbers w:val="0"/>
              <w:pBdr>
                <w:top w:val="none" w:color="auto" w:sz="0" w:space="0"/>
                <w:left w:val="none" w:color="auto" w:sz="0" w:space="0"/>
              </w:pBdr>
              <w:kinsoku/>
              <w:wordWrap w:val="0"/>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长</w:t>
            </w:r>
            <w:r>
              <w:rPr>
                <w:rFonts w:hint="eastAsia" w:ascii="方正楷体_GBK" w:hAnsi="方正楷体_GBK" w:eastAsia="方正楷体_GBK" w:cs="方正楷体_GBK"/>
                <w:color w:val="000000"/>
                <w:sz w:val="24"/>
                <w:szCs w:val="24"/>
              </w:rPr>
              <w:t xml:space="preserve">3m x </w:t>
            </w:r>
            <w:r>
              <w:rPr>
                <w:rFonts w:hint="eastAsia" w:ascii="方正楷体_GBK" w:hAnsi="方正楷体_GBK" w:eastAsia="方正楷体_GBK" w:cs="方正楷体_GBK"/>
                <w:color w:val="000000"/>
                <w:sz w:val="24"/>
                <w:szCs w:val="24"/>
                <w:lang w:val="en-US" w:eastAsia="zh-CN"/>
              </w:rPr>
              <w:t>宽</w:t>
            </w:r>
            <w:r>
              <w:rPr>
                <w:rFonts w:hint="eastAsia" w:ascii="方正楷体_GBK" w:hAnsi="方正楷体_GBK" w:eastAsia="方正楷体_GBK" w:cs="方正楷体_GBK"/>
                <w:color w:val="000000"/>
                <w:sz w:val="24"/>
                <w:szCs w:val="24"/>
              </w:rPr>
              <w:t>3m</w:t>
            </w:r>
            <w:r>
              <w:rPr>
                <w:rFonts w:hint="eastAsia" w:ascii="方正楷体_GBK" w:hAnsi="方正楷体_GBK" w:eastAsia="方正楷体_GBK" w:cs="方正楷体_GBK"/>
                <w:color w:val="000000"/>
                <w:sz w:val="24"/>
                <w:szCs w:val="24"/>
                <w:lang w:val="en-US" w:eastAsia="zh-CN"/>
              </w:rPr>
              <w:t>高2.5M</w:t>
            </w:r>
          </w:p>
        </w:tc>
        <w:tc>
          <w:tcPr>
            <w:tcW w:w="2650" w:type="dxa"/>
            <w:tcBorders>
              <w:top w:val="single" w:color="4BACC6" w:sz="8" w:space="0"/>
              <w:left w:val="dotted" w:color="auto" w:sz="8" w:space="0"/>
              <w:bottom w:val="single" w:color="4BACC6" w:sz="8" w:space="0"/>
              <w:right w:val="dotted" w:color="auto" w:sz="8" w:space="0"/>
            </w:tcBorders>
            <w:shd w:val="clear" w:color="auto" w:fill="E9F1F5"/>
            <w:vAlign w:val="center"/>
          </w:tcPr>
          <w:p w14:paraId="0D24CA4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8</w:t>
            </w:r>
            <w:r>
              <w:rPr>
                <w:rFonts w:hint="eastAsia" w:ascii="方正楷体_GBK" w:hAnsi="方正楷体_GBK" w:eastAsia="方正楷体_GBK" w:cs="方正楷体_GBK"/>
                <w:color w:val="000000"/>
                <w:sz w:val="24"/>
                <w:szCs w:val="24"/>
              </w:rPr>
              <w:t>800元/个/展期</w:t>
            </w:r>
          </w:p>
        </w:tc>
        <w:tc>
          <w:tcPr>
            <w:tcW w:w="2723" w:type="dxa"/>
            <w:tcBorders>
              <w:top w:val="single" w:color="4BACC6" w:sz="8" w:space="0"/>
              <w:left w:val="dotted" w:color="auto" w:sz="8" w:space="0"/>
              <w:bottom w:val="single" w:color="4BACC6" w:sz="8" w:space="0"/>
              <w:right w:val="single" w:color="4BACC6" w:sz="8" w:space="0"/>
            </w:tcBorders>
            <w:shd w:val="clear" w:color="auto" w:fill="E9F1F5"/>
            <w:vAlign w:val="center"/>
          </w:tcPr>
          <w:p w14:paraId="2DD5776C">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18</w:t>
            </w:r>
            <w:r>
              <w:rPr>
                <w:rFonts w:hint="eastAsia" w:ascii="方正楷体_GBK" w:hAnsi="方正楷体_GBK" w:eastAsia="方正楷体_GBK" w:cs="方正楷体_GBK"/>
                <w:color w:val="000000"/>
                <w:sz w:val="24"/>
                <w:szCs w:val="24"/>
              </w:rPr>
              <w:t>00美元/个/展期</w:t>
            </w:r>
          </w:p>
        </w:tc>
      </w:tr>
      <w:tr w14:paraId="6E6A3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FFFFFF"/>
            <w:vAlign w:val="center"/>
          </w:tcPr>
          <w:p w14:paraId="4B1A4CA8">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普通双开</w:t>
            </w:r>
            <w:r>
              <w:rPr>
                <w:rFonts w:hint="eastAsia" w:ascii="方正楷体_GBK" w:hAnsi="方正楷体_GBK" w:eastAsia="方正楷体_GBK" w:cs="方正楷体_GBK"/>
                <w:color w:val="000000"/>
                <w:sz w:val="24"/>
                <w:szCs w:val="24"/>
              </w:rPr>
              <w:t>展位</w:t>
            </w:r>
          </w:p>
        </w:tc>
        <w:tc>
          <w:tcPr>
            <w:tcW w:w="2900" w:type="dxa"/>
            <w:tcBorders>
              <w:top w:val="single" w:color="4BACC6" w:sz="8" w:space="0"/>
              <w:left w:val="dotted" w:color="auto" w:sz="8" w:space="0"/>
              <w:bottom w:val="single" w:color="4BACC6" w:sz="8" w:space="0"/>
              <w:right w:val="dotted" w:color="auto" w:sz="8" w:space="0"/>
            </w:tcBorders>
            <w:shd w:val="clear" w:color="auto" w:fill="FFFFFF"/>
            <w:vAlign w:val="center"/>
          </w:tcPr>
          <w:p w14:paraId="08B4FD44">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val="en-US" w:eastAsia="zh-CN" w:bidi="ar"/>
              </w:rPr>
              <w:t>长</w:t>
            </w:r>
            <w:r>
              <w:rPr>
                <w:rFonts w:hint="eastAsia" w:ascii="方正楷体_GBK" w:hAnsi="方正楷体_GBK" w:eastAsia="方正楷体_GBK" w:cs="方正楷体_GBK"/>
                <w:color w:val="000000"/>
                <w:sz w:val="24"/>
                <w:szCs w:val="24"/>
              </w:rPr>
              <w:t xml:space="preserve">3m x </w:t>
            </w:r>
            <w:r>
              <w:rPr>
                <w:rFonts w:hint="eastAsia" w:ascii="方正楷体_GBK" w:hAnsi="方正楷体_GBK" w:eastAsia="方正楷体_GBK" w:cs="方正楷体_GBK"/>
                <w:color w:val="000000"/>
                <w:sz w:val="24"/>
                <w:szCs w:val="24"/>
                <w:lang w:val="en-US" w:eastAsia="zh-CN"/>
              </w:rPr>
              <w:t>宽</w:t>
            </w:r>
            <w:r>
              <w:rPr>
                <w:rFonts w:hint="eastAsia" w:ascii="方正楷体_GBK" w:hAnsi="方正楷体_GBK" w:eastAsia="方正楷体_GBK" w:cs="方正楷体_GBK"/>
                <w:color w:val="000000"/>
                <w:sz w:val="24"/>
                <w:szCs w:val="24"/>
              </w:rPr>
              <w:t>3m</w:t>
            </w:r>
            <w:r>
              <w:rPr>
                <w:rFonts w:hint="eastAsia" w:ascii="方正楷体_GBK" w:hAnsi="方正楷体_GBK" w:eastAsia="方正楷体_GBK" w:cs="方正楷体_GBK"/>
                <w:color w:val="000000"/>
                <w:sz w:val="24"/>
                <w:szCs w:val="24"/>
                <w:lang w:val="en-US" w:eastAsia="zh-CN"/>
              </w:rPr>
              <w:t>高2.5M</w:t>
            </w:r>
          </w:p>
        </w:tc>
        <w:tc>
          <w:tcPr>
            <w:tcW w:w="2650" w:type="dxa"/>
            <w:tcBorders>
              <w:top w:val="single" w:color="4BACC6" w:sz="8" w:space="0"/>
              <w:left w:val="dotted" w:color="auto" w:sz="8" w:space="0"/>
              <w:bottom w:val="single" w:color="4BACC6" w:sz="8" w:space="0"/>
              <w:right w:val="dotted" w:color="auto" w:sz="8" w:space="0"/>
            </w:tcBorders>
            <w:shd w:val="clear" w:color="auto" w:fill="FFFFFF"/>
            <w:vAlign w:val="center"/>
          </w:tcPr>
          <w:p w14:paraId="4E30F512">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98</w:t>
            </w:r>
            <w:r>
              <w:rPr>
                <w:rFonts w:hint="eastAsia" w:ascii="方正楷体_GBK" w:hAnsi="方正楷体_GBK" w:eastAsia="方正楷体_GBK" w:cs="方正楷体_GBK"/>
                <w:color w:val="000000"/>
                <w:sz w:val="24"/>
                <w:szCs w:val="24"/>
              </w:rPr>
              <w:t>00元/个/展期</w:t>
            </w:r>
          </w:p>
        </w:tc>
        <w:tc>
          <w:tcPr>
            <w:tcW w:w="2723" w:type="dxa"/>
            <w:tcBorders>
              <w:top w:val="single" w:color="4BACC6" w:sz="8" w:space="0"/>
              <w:left w:val="dotted" w:color="auto" w:sz="8" w:space="0"/>
              <w:bottom w:val="single" w:color="4BACC6" w:sz="8" w:space="0"/>
              <w:right w:val="single" w:color="4BACC6" w:sz="8" w:space="0"/>
            </w:tcBorders>
            <w:shd w:val="clear" w:color="auto" w:fill="FFFFFF"/>
            <w:vAlign w:val="center"/>
          </w:tcPr>
          <w:p w14:paraId="2E65698E">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20</w:t>
            </w:r>
            <w:r>
              <w:rPr>
                <w:rFonts w:hint="eastAsia" w:ascii="方正楷体_GBK" w:hAnsi="方正楷体_GBK" w:eastAsia="方正楷体_GBK" w:cs="方正楷体_GBK"/>
                <w:color w:val="000000"/>
                <w:sz w:val="24"/>
                <w:szCs w:val="24"/>
              </w:rPr>
              <w:t>00美元/个/展期</w:t>
            </w:r>
          </w:p>
        </w:tc>
      </w:tr>
      <w:tr w14:paraId="6C35F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FFFFFF"/>
            <w:vAlign w:val="center"/>
          </w:tcPr>
          <w:p w14:paraId="520A9BAC">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rPr>
              <w:t>室内空地</w:t>
            </w:r>
          </w:p>
        </w:tc>
        <w:tc>
          <w:tcPr>
            <w:tcW w:w="2900" w:type="dxa"/>
            <w:tcBorders>
              <w:top w:val="single" w:color="4BACC6" w:sz="8" w:space="0"/>
              <w:left w:val="dotted" w:color="auto" w:sz="8" w:space="0"/>
              <w:bottom w:val="single" w:color="4BACC6" w:sz="8" w:space="0"/>
              <w:right w:val="dotted" w:color="auto" w:sz="8" w:space="0"/>
            </w:tcBorders>
            <w:shd w:val="clear" w:color="auto" w:fill="FFFFFF"/>
            <w:vAlign w:val="center"/>
          </w:tcPr>
          <w:p w14:paraId="7ED9DC46">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rPr>
              <w:t>36m²起订</w:t>
            </w:r>
          </w:p>
        </w:tc>
        <w:tc>
          <w:tcPr>
            <w:tcW w:w="2650" w:type="dxa"/>
            <w:tcBorders>
              <w:top w:val="single" w:color="4BACC6" w:sz="8" w:space="0"/>
              <w:left w:val="dotted" w:color="auto" w:sz="8" w:space="0"/>
              <w:bottom w:val="single" w:color="4BACC6" w:sz="8" w:space="0"/>
              <w:right w:val="dotted" w:color="auto" w:sz="8" w:space="0"/>
            </w:tcBorders>
            <w:shd w:val="clear" w:color="auto" w:fill="FFFFFF"/>
            <w:vAlign w:val="center"/>
          </w:tcPr>
          <w:p w14:paraId="260A7AA0">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lang w:val="en-US" w:eastAsia="zh-CN"/>
              </w:rPr>
              <w:t>9</w:t>
            </w:r>
            <w:r>
              <w:rPr>
                <w:rFonts w:hint="eastAsia" w:ascii="方正楷体_GBK" w:hAnsi="方正楷体_GBK" w:eastAsia="方正楷体_GBK" w:cs="方正楷体_GBK"/>
                <w:color w:val="000000"/>
                <w:sz w:val="24"/>
                <w:szCs w:val="24"/>
              </w:rPr>
              <w:t>00元/m²/展期</w:t>
            </w:r>
          </w:p>
        </w:tc>
        <w:tc>
          <w:tcPr>
            <w:tcW w:w="2723" w:type="dxa"/>
            <w:tcBorders>
              <w:top w:val="single" w:color="4BACC6" w:sz="8" w:space="0"/>
              <w:left w:val="dotted" w:color="auto" w:sz="8" w:space="0"/>
              <w:bottom w:val="single" w:color="4BACC6" w:sz="8" w:space="0"/>
              <w:right w:val="single" w:color="4BACC6" w:sz="8" w:space="0"/>
            </w:tcBorders>
            <w:shd w:val="clear" w:color="auto" w:fill="FFFFFF"/>
            <w:vAlign w:val="center"/>
          </w:tcPr>
          <w:p w14:paraId="2C9ADB31">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lang w:val="en-US" w:eastAsia="zh-CN"/>
              </w:rPr>
              <w:t>200</w:t>
            </w:r>
            <w:r>
              <w:rPr>
                <w:rFonts w:hint="eastAsia" w:ascii="方正楷体_GBK" w:hAnsi="方正楷体_GBK" w:eastAsia="方正楷体_GBK" w:cs="方正楷体_GBK"/>
                <w:color w:val="000000"/>
                <w:sz w:val="24"/>
                <w:szCs w:val="24"/>
              </w:rPr>
              <w:t>美元/m²/展</w:t>
            </w:r>
            <w:r>
              <w:rPr>
                <w:rFonts w:hint="eastAsia" w:ascii="方正楷体_GBK" w:hAnsi="方正楷体_GBK" w:eastAsia="方正楷体_GBK" w:cs="方正楷体_GBK"/>
                <w:color w:val="000000"/>
                <w:sz w:val="24"/>
                <w:szCs w:val="24"/>
                <w:lang w:val="en-US" w:eastAsia="zh-CN"/>
              </w:rPr>
              <w:t>期</w:t>
            </w:r>
          </w:p>
        </w:tc>
      </w:tr>
    </w:tbl>
    <w:p w14:paraId="719DC9A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方正楷体_GBK" w:hAnsi="方正楷体_GBK" w:eastAsia="方正楷体_GBK" w:cs="方正楷体_GBK"/>
          <w:sz w:val="24"/>
          <w:szCs w:val="24"/>
          <w:lang w:val="en-US" w:eastAsia="zh-CN"/>
        </w:rPr>
      </w:pPr>
    </w:p>
    <w:p w14:paraId="130E0CF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b/>
          <w:bCs/>
          <w:color w:val="0070C0"/>
          <w:sz w:val="24"/>
          <w:szCs w:val="24"/>
          <w:lang w:val="en-US" w:eastAsia="zh-CN"/>
        </w:rPr>
        <w:t xml:space="preserve">【展位说明】 </w:t>
      </w:r>
    </w:p>
    <w:p w14:paraId="55B14933">
      <w:pPr>
        <w:keepNext w:val="0"/>
        <w:keepLines w:val="0"/>
        <w:pageBreakBefore w:val="0"/>
        <w:numPr>
          <w:ilvl w:val="0"/>
          <w:numId w:val="1"/>
        </w:numPr>
        <w:kinsoku/>
        <w:overflowPunct/>
        <w:topLinePunct w:val="0"/>
        <w:autoSpaceDE/>
        <w:autoSpaceDN/>
        <w:bidi w:val="0"/>
        <w:adjustRightInd/>
        <w:snapToGrid/>
        <w:spacing w:line="360" w:lineRule="exact"/>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标准展位配置：中英文楣板、</w:t>
      </w:r>
      <w:r>
        <w:rPr>
          <w:rFonts w:hint="eastAsia" w:ascii="方正楷体_GBK" w:hAnsi="方正楷体_GBK" w:eastAsia="方正楷体_GBK" w:cs="方正楷体_GBK"/>
          <w:sz w:val="24"/>
          <w:szCs w:val="24"/>
          <w:lang w:val="en-US" w:eastAsia="zh-CN"/>
        </w:rPr>
        <w:t>射灯</w:t>
      </w:r>
      <w:r>
        <w:rPr>
          <w:rFonts w:hint="eastAsia" w:ascii="方正楷体_GBK" w:hAnsi="方正楷体_GBK" w:eastAsia="方正楷体_GBK" w:cs="方正楷体_GBK"/>
          <w:sz w:val="24"/>
          <w:szCs w:val="24"/>
        </w:rPr>
        <w:t>两盏、隔板、</w:t>
      </w:r>
      <w:r>
        <w:rPr>
          <w:rFonts w:hint="eastAsia" w:ascii="方正楷体_GBK" w:hAnsi="方正楷体_GBK" w:eastAsia="方正楷体_GBK" w:cs="方正楷体_GBK"/>
          <w:sz w:val="24"/>
          <w:szCs w:val="24"/>
          <w:lang w:val="en-US" w:eastAsia="zh-CN"/>
        </w:rPr>
        <w:t>接待</w:t>
      </w:r>
      <w:r>
        <w:rPr>
          <w:rFonts w:hint="eastAsia" w:ascii="方正楷体_GBK" w:hAnsi="方正楷体_GBK" w:eastAsia="方正楷体_GBK" w:cs="方正楷体_GBK"/>
          <w:sz w:val="24"/>
          <w:szCs w:val="24"/>
        </w:rPr>
        <w:t>桌一张、椅子两把、400W/220V电源插座一个；</w:t>
      </w:r>
    </w:p>
    <w:p w14:paraId="1E800F52">
      <w:pPr>
        <w:keepNext w:val="0"/>
        <w:keepLines w:val="0"/>
        <w:pageBreakBefore w:val="0"/>
        <w:widowControl/>
        <w:numPr>
          <w:ilvl w:val="0"/>
          <w:numId w:val="1"/>
        </w:numPr>
        <w:tabs>
          <w:tab w:val="left" w:pos="0"/>
        </w:tabs>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订</w:t>
      </w:r>
      <w:r>
        <w:rPr>
          <w:rFonts w:hint="eastAsia" w:ascii="方正楷体_GBK" w:hAnsi="方正楷体_GBK" w:eastAsia="方正楷体_GBK" w:cs="方正楷体_GBK"/>
          <w:color w:val="000000"/>
          <w:sz w:val="24"/>
          <w:szCs w:val="24"/>
          <w:lang w:val="en-US" w:eastAsia="zh-CN"/>
        </w:rPr>
        <w:t>空</w:t>
      </w:r>
      <w:r>
        <w:rPr>
          <w:rFonts w:hint="eastAsia" w:ascii="方正楷体_GBK" w:hAnsi="方正楷体_GBK" w:eastAsia="方正楷体_GBK" w:cs="方正楷体_GBK"/>
          <w:color w:val="000000"/>
          <w:sz w:val="24"/>
          <w:szCs w:val="24"/>
        </w:rPr>
        <w:t>地的展商自行负责展位布置的所需费用</w:t>
      </w:r>
      <w:r>
        <w:rPr>
          <w:rFonts w:hint="eastAsia" w:ascii="方正楷体_GBK" w:hAnsi="方正楷体_GBK" w:eastAsia="方正楷体_GBK" w:cs="方正楷体_GBK"/>
          <w:color w:val="000000"/>
          <w:sz w:val="24"/>
          <w:szCs w:val="24"/>
          <w:lang w:eastAsia="zh-CN"/>
        </w:rPr>
        <w:t>；</w:t>
      </w:r>
    </w:p>
    <w:p w14:paraId="6C960623">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b/>
          <w:bCs/>
          <w:color w:val="C00000"/>
          <w:sz w:val="24"/>
          <w:szCs w:val="24"/>
          <w:lang w:val="en-US" w:eastAsia="zh-CN"/>
        </w:rPr>
      </w:pPr>
      <w:r>
        <w:rPr>
          <w:rFonts w:hint="eastAsia" w:ascii="方正楷体_GBK" w:hAnsi="方正楷体_GBK" w:eastAsia="方正楷体_GBK" w:cs="方正楷体_GBK"/>
          <w:color w:val="000000"/>
          <w:sz w:val="24"/>
          <w:szCs w:val="24"/>
          <w:lang w:val="en-US" w:eastAsia="zh-CN"/>
        </w:rPr>
        <w:t>3、高清展位效果图请联系承办方；</w:t>
      </w:r>
    </w:p>
    <w:p w14:paraId="26BE9F1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方正楷体_GBK" w:hAnsi="方正楷体_GBK" w:eastAsia="方正楷体_GBK" w:cs="方正楷体_GBK"/>
          <w:b/>
          <w:bCs/>
          <w:color w:val="000000" w:themeColor="text1"/>
          <w:sz w:val="24"/>
          <w:szCs w:val="2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24"/>
          <w:szCs w:val="24"/>
          <w:lang w:val="en-US" w:eastAsia="zh-CN"/>
          <w14:textFill>
            <w14:solidFill>
              <w14:schemeClr w14:val="tx1"/>
            </w14:solidFill>
          </w14:textFill>
        </w:rPr>
        <w:t>十、论坛会议价目：</w:t>
      </w:r>
    </w:p>
    <w:p w14:paraId="153DB9B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b/>
          <w:bCs/>
          <w:color w:val="C00000"/>
          <w:sz w:val="24"/>
          <w:szCs w:val="24"/>
          <w:lang w:val="en-US" w:eastAsia="zh-CN"/>
        </w:rPr>
      </w:pPr>
    </w:p>
    <w:tbl>
      <w:tblPr>
        <w:tblStyle w:val="11"/>
        <w:tblW w:w="985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3135"/>
        <w:gridCol w:w="4944"/>
      </w:tblGrid>
      <w:tr w14:paraId="709C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72" w:type="dxa"/>
            <w:vMerge w:val="restart"/>
            <w:shd w:val="clear" w:color="auto" w:fill="BAEBF1"/>
            <w:vAlign w:val="center"/>
          </w:tcPr>
          <w:p w14:paraId="24D51071">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容纳</w:t>
            </w:r>
            <w:r>
              <w:rPr>
                <w:rFonts w:hint="eastAsia" w:ascii="方正楷体_GBK" w:hAnsi="方正楷体_GBK" w:eastAsia="方正楷体_GBK" w:cs="方正楷体_GBK"/>
                <w:sz w:val="24"/>
                <w:szCs w:val="24"/>
                <w:lang w:val="en-US" w:eastAsia="zh-CN"/>
              </w:rPr>
              <w:t>200</w:t>
            </w:r>
            <w:r>
              <w:rPr>
                <w:rFonts w:hint="eastAsia" w:ascii="方正楷体_GBK" w:hAnsi="方正楷体_GBK" w:eastAsia="方正楷体_GBK" w:cs="方正楷体_GBK"/>
                <w:sz w:val="24"/>
                <w:szCs w:val="24"/>
              </w:rPr>
              <w:t>人</w:t>
            </w:r>
          </w:p>
        </w:tc>
        <w:tc>
          <w:tcPr>
            <w:tcW w:w="3135" w:type="dxa"/>
            <w:vAlign w:val="center"/>
          </w:tcPr>
          <w:p w14:paraId="1175967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单场：10000</w:t>
            </w:r>
            <w:r>
              <w:rPr>
                <w:rFonts w:hint="eastAsia" w:ascii="方正楷体_GBK" w:hAnsi="方正楷体_GBK" w:eastAsia="方正楷体_GBK" w:cs="方正楷体_GBK"/>
                <w:sz w:val="24"/>
                <w:szCs w:val="24"/>
              </w:rPr>
              <w:t>元/</w:t>
            </w:r>
            <w:r>
              <w:rPr>
                <w:rFonts w:hint="eastAsia" w:ascii="方正楷体_GBK" w:hAnsi="方正楷体_GBK" w:eastAsia="方正楷体_GBK" w:cs="方正楷体_GBK"/>
                <w:sz w:val="24"/>
                <w:szCs w:val="24"/>
                <w:lang w:val="en-US" w:eastAsia="zh-CN"/>
              </w:rPr>
              <w:t>30分钟</w:t>
            </w:r>
          </w:p>
        </w:tc>
        <w:tc>
          <w:tcPr>
            <w:tcW w:w="4944" w:type="dxa"/>
            <w:vMerge w:val="restart"/>
            <w:vAlign w:val="top"/>
          </w:tcPr>
          <w:p w14:paraId="38AB6277">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备注：（含以下服务）</w:t>
            </w:r>
          </w:p>
          <w:p w14:paraId="3387EA95">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 提供技术设施(讲台、椅子)和水1桶；</w:t>
            </w:r>
          </w:p>
          <w:p w14:paraId="2842456E">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2. 提供电源，投影仪，音响，话筒等；</w:t>
            </w:r>
          </w:p>
          <w:p w14:paraId="508C6A90">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 提供会前的馆内广播通告.</w:t>
            </w:r>
          </w:p>
        </w:tc>
      </w:tr>
      <w:tr w14:paraId="4FE6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72" w:type="dxa"/>
            <w:vMerge w:val="continue"/>
            <w:shd w:val="clear" w:color="auto" w:fill="BAEBF1"/>
            <w:vAlign w:val="center"/>
          </w:tcPr>
          <w:p w14:paraId="3415BF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4"/>
                <w:szCs w:val="24"/>
              </w:rPr>
            </w:pPr>
          </w:p>
        </w:tc>
        <w:tc>
          <w:tcPr>
            <w:tcW w:w="3135" w:type="dxa"/>
            <w:vAlign w:val="center"/>
          </w:tcPr>
          <w:p w14:paraId="096B52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主论坛穿插：30000</w:t>
            </w:r>
            <w:r>
              <w:rPr>
                <w:rFonts w:hint="eastAsia" w:ascii="方正楷体_GBK" w:hAnsi="方正楷体_GBK" w:eastAsia="方正楷体_GBK" w:cs="方正楷体_GBK"/>
                <w:sz w:val="24"/>
                <w:szCs w:val="24"/>
              </w:rPr>
              <w:t>元/</w:t>
            </w:r>
            <w:r>
              <w:rPr>
                <w:rFonts w:hint="eastAsia" w:ascii="方正楷体_GBK" w:hAnsi="方正楷体_GBK" w:eastAsia="方正楷体_GBK" w:cs="方正楷体_GBK"/>
                <w:sz w:val="24"/>
                <w:szCs w:val="24"/>
                <w:lang w:val="en-US" w:eastAsia="zh-CN"/>
              </w:rPr>
              <w:t>20分钟</w:t>
            </w:r>
          </w:p>
        </w:tc>
        <w:tc>
          <w:tcPr>
            <w:tcW w:w="4944" w:type="dxa"/>
            <w:vMerge w:val="continue"/>
            <w:vAlign w:val="top"/>
          </w:tcPr>
          <w:p w14:paraId="5974F6CA">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p>
        </w:tc>
      </w:tr>
    </w:tbl>
    <w:p w14:paraId="76568088">
      <w:pPr>
        <w:numPr>
          <w:ilvl w:val="0"/>
          <w:numId w:val="2"/>
        </w:num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组委会联系方式</w:t>
      </w:r>
    </w:p>
    <w:p w14:paraId="43DF0AEF">
      <w:pPr>
        <w:numPr>
          <w:ilvl w:val="0"/>
          <w:numId w:val="0"/>
        </w:num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唐经理185-3097-1558  156-1743-8333  邮箱:tangbin1@bolanguoji.cn</w:t>
      </w:r>
    </w:p>
    <w:p w14:paraId="366EF7AE">
      <w:pPr>
        <w:ind w:firstLine="0" w:firstLineChars="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电话：0371-6758- 4281   网址：</w:t>
      </w:r>
      <w:r>
        <w:rPr>
          <w:rFonts w:hint="eastAsia" w:ascii="方正楷体_GB2312" w:hAnsi="方正楷体_GB2312" w:eastAsia="方正楷体_GB2312" w:cs="方正楷体_GB2312"/>
          <w:b w:val="0"/>
          <w:bCs w:val="0"/>
          <w:sz w:val="24"/>
          <w:szCs w:val="24"/>
          <w:lang w:val="en-US" w:eastAsia="zh-CN"/>
        </w:rPr>
        <w:fldChar w:fldCharType="begin"/>
      </w:r>
      <w:r>
        <w:rPr>
          <w:rFonts w:hint="eastAsia" w:ascii="方正楷体_GB2312" w:hAnsi="方正楷体_GB2312" w:eastAsia="方正楷体_GB2312" w:cs="方正楷体_GB2312"/>
          <w:b w:val="0"/>
          <w:bCs w:val="0"/>
          <w:sz w:val="24"/>
          <w:szCs w:val="24"/>
          <w:lang w:val="en-US" w:eastAsia="zh-CN"/>
        </w:rPr>
        <w:instrText xml:space="preserve"> HYPERLINK "http://www.cipexpo.cn/" </w:instrText>
      </w:r>
      <w:r>
        <w:rPr>
          <w:rFonts w:hint="eastAsia" w:ascii="方正楷体_GB2312" w:hAnsi="方正楷体_GB2312" w:eastAsia="方正楷体_GB2312" w:cs="方正楷体_GB2312"/>
          <w:b w:val="0"/>
          <w:bCs w:val="0"/>
          <w:sz w:val="24"/>
          <w:szCs w:val="24"/>
          <w:lang w:val="en-US" w:eastAsia="zh-CN"/>
        </w:rPr>
        <w:fldChar w:fldCharType="separate"/>
      </w:r>
      <w:r>
        <w:rPr>
          <w:rStyle w:val="16"/>
          <w:rFonts w:hint="eastAsia" w:ascii="方正楷体_GB2312" w:hAnsi="方正楷体_GB2312" w:eastAsia="方正楷体_GB2312" w:cs="方正楷体_GB2312"/>
          <w:b w:val="0"/>
          <w:bCs w:val="0"/>
          <w:sz w:val="24"/>
          <w:szCs w:val="24"/>
          <w:lang w:val="en-US" w:eastAsia="zh-CN"/>
        </w:rPr>
        <w:t>http://www.cipexpo.cn/</w:t>
      </w:r>
      <w:r>
        <w:rPr>
          <w:rFonts w:hint="eastAsia" w:ascii="方正楷体_GB2312" w:hAnsi="方正楷体_GB2312" w:eastAsia="方正楷体_GB2312" w:cs="方正楷体_GB2312"/>
          <w:b w:val="0"/>
          <w:bCs w:val="0"/>
          <w:sz w:val="24"/>
          <w:szCs w:val="24"/>
          <w:lang w:val="en-US" w:eastAsia="zh-CN"/>
        </w:rPr>
        <w:fldChar w:fldCharType="end"/>
      </w:r>
    </w:p>
    <w:p w14:paraId="38E19170">
      <w:pPr>
        <w:ind w:firstLine="0" w:firstLineChars="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地址：郑州市金水区经三北路65号江山商界A座913号</w:t>
      </w:r>
    </w:p>
    <w:p w14:paraId="1F2EF4F1">
      <w:pPr>
        <w:keepNext w:val="0"/>
        <w:keepLines w:val="0"/>
        <w:pageBreakBefore w:val="0"/>
        <w:widowControl w:val="0"/>
        <w:kinsoku/>
        <w:wordWrap/>
        <w:overflowPunct/>
        <w:topLinePunct w:val="0"/>
        <w:autoSpaceDE/>
        <w:autoSpaceDN/>
        <w:bidi w:val="0"/>
        <w:adjustRightInd/>
        <w:snapToGrid/>
        <w:spacing w:line="380" w:lineRule="exact"/>
        <w:ind w:right="0" w:rightChars="0" w:firstLine="240" w:firstLineChars="100"/>
        <w:jc w:val="both"/>
        <w:textAlignment w:val="auto"/>
        <w:outlineLvl w:val="9"/>
        <w:rPr>
          <w:rFonts w:hint="eastAsia" w:ascii="方正楷体_GB2312" w:hAnsi="方正楷体_GB2312" w:eastAsia="方正楷体_GB2312" w:cs="方正楷体_GB2312"/>
          <w:sz w:val="24"/>
          <w:szCs w:val="24"/>
          <w:lang w:val="en-US" w:eastAsia="zh-CN"/>
        </w:rPr>
      </w:pPr>
    </w:p>
    <w:p w14:paraId="36D676F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楷体_GB2312" w:hAnsi="方正楷体_GB2312" w:eastAsia="方正楷体_GB2312" w:cs="方正楷体_GB2312"/>
          <w:b/>
          <w:bCs/>
          <w:i w:val="0"/>
          <w:caps w:val="0"/>
          <w:color w:val="C00000"/>
          <w:spacing w:val="75"/>
          <w:sz w:val="24"/>
          <w:szCs w:val="24"/>
          <w:shd w:val="clear" w:fill="FFFFFF"/>
          <w:lang w:val="en-US" w:eastAsia="zh-CN"/>
        </w:rPr>
      </w:pPr>
    </w:p>
    <w:sectPr>
      <w:headerReference r:id="rId3" w:type="default"/>
      <w:footerReference r:id="rId4" w:type="default"/>
      <w:pgSz w:w="11850" w:h="16783"/>
      <w:pgMar w:top="1440" w:right="1080" w:bottom="1440" w:left="1080"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1" w:fontKey="{AACBDB21-CD08-4411-9C57-143578355B66}"/>
  </w:font>
  <w:font w:name="楷体">
    <w:panose1 w:val="02010609060101010101"/>
    <w:charset w:val="86"/>
    <w:family w:val="auto"/>
    <w:pitch w:val="default"/>
    <w:sig w:usb0="800002BF" w:usb1="38CF7CFA" w:usb2="00000016" w:usb3="00000000" w:csb0="00040001" w:csb1="00000000"/>
    <w:embedRegular r:id="rId2" w:fontKey="{7CD6F595-1BCC-4D24-A745-3314B8EC3C40}"/>
  </w:font>
  <w:font w:name="方正楷体_GBK">
    <w:panose1 w:val="02000000000000000000"/>
    <w:charset w:val="86"/>
    <w:family w:val="auto"/>
    <w:pitch w:val="default"/>
    <w:sig w:usb0="800002BF" w:usb1="38CF7CFA" w:usb2="00000016" w:usb3="00000000" w:csb0="00040000" w:csb1="00000000"/>
    <w:embedRegular r:id="rId3" w:fontKey="{A23F1B26-8B52-4F93-A945-2D93DC19511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A157D">
    <w:pPr>
      <w:pStyle w:val="7"/>
      <w:rPr>
        <w:rFonts w:hint="eastAsia" w:asciiTheme="minorEastAsia" w:hAnsiTheme="minorEastAsia" w:eastAsiaTheme="minorEastAsia" w:cstheme="minorEastAsia"/>
        <w:color w:val="B50698"/>
        <w:sz w:val="15"/>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6B409">
                          <w:pPr>
                            <w:pStyle w:val="7"/>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16B409">
                    <w:pPr>
                      <w:pStyle w:val="7"/>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r>
      <w:rPr>
        <w:rFonts w:hint="eastAsia" w:asciiTheme="minorEastAsia" w:hAnsiTheme="minorEastAsia" w:cstheme="minorEastAsia"/>
        <w:b w:val="0"/>
        <w:i w:val="0"/>
        <w:caps w:val="0"/>
        <w:color w:val="B50698"/>
        <w:spacing w:val="0"/>
        <w:sz w:val="21"/>
        <w:szCs w:val="21"/>
        <w:shd w:val="clear" w:fill="FFFFFF"/>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4607">
    <w:pPr>
      <w:rPr>
        <w:rFonts w:hint="default" w:eastAsiaTheme="minorEastAsia"/>
        <w:b/>
        <w:bCs/>
        <w:color w:val="000000" w:themeColor="text1"/>
        <w:sz w:val="20"/>
        <w:szCs w:val="2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sz w:val="18"/>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885190</wp:posOffset>
              </wp:positionV>
              <wp:extent cx="866775" cy="21774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66775" cy="2177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1BB13">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69.7pt;height:171.45pt;width:68.25pt;z-index:251659264;mso-width-relative:page;mso-height-relative:page;" filled="f" stroked="f" coordsize="21600,21600" o:gfxdata="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Xirc2wAAAAsBAAAPAAAAAAAAAAEAIAAAACIAAABk&#10;cnMvZG93bnJldi54bWxQSwECFAAUAAAACACHTuJAiNnqkTwCAABmBAAADgAAAAAAAAABACAAAAAq&#10;AQAAZHJzL2Uyb0RvYy54bWxQSwUGAAAAAAYABgBZAQAA2AUAAAAA&#10;">
              <v:fill on="f" focussize="0,0"/>
              <v:stroke on="f" weight="0.5pt"/>
              <v:imagedata o:title=""/>
              <o:lock v:ext="edit" aspectratio="f"/>
              <v:textbox>
                <w:txbxContent>
                  <w:p w14:paraId="1461BB13">
                    <w:pPr>
                      <w:rPr>
                        <w:rFonts w:hint="default"/>
                        <w:lang w:val="en-US" w:eastAsia="zh-CN"/>
                      </w:rPr>
                    </w:pPr>
                  </w:p>
                </w:txbxContent>
              </v:textbox>
            </v:shape>
          </w:pict>
        </mc:Fallback>
      </mc:AlternateContent>
    </w:r>
    <w:r>
      <w:rPr>
        <w:rFonts w:hint="eastAsia"/>
        <w:lang w:val="en-US" w:eastAsia="zh-CN"/>
      </w:rPr>
      <w:t xml:space="preserve">                                                          </w:t>
    </w:r>
  </w:p>
  <w:p w14:paraId="661ADFF9">
    <w:pPr>
      <w:pStyle w:val="8"/>
      <w:rPr>
        <w:sz w:val="2"/>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4CDD"/>
    <w:multiLevelType w:val="singleLevel"/>
    <w:tmpl w:val="81284CDD"/>
    <w:lvl w:ilvl="0" w:tentative="0">
      <w:start w:val="11"/>
      <w:numFmt w:val="chineseCounting"/>
      <w:suff w:val="nothing"/>
      <w:lvlText w:val="%1、"/>
      <w:lvlJc w:val="left"/>
      <w:rPr>
        <w:rFonts w:hint="eastAsia"/>
      </w:rPr>
    </w:lvl>
  </w:abstractNum>
  <w:abstractNum w:abstractNumId="1">
    <w:nsid w:val="0000000B"/>
    <w:multiLevelType w:val="singleLevel"/>
    <w:tmpl w:val="000000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YTllMGQ1ZDRiNjM1ZDM0MzE3YTRkYTFhZWM2ODUifQ=="/>
  </w:docVars>
  <w:rsids>
    <w:rsidRoot w:val="7F013D81"/>
    <w:rsid w:val="00215AD3"/>
    <w:rsid w:val="00230FC2"/>
    <w:rsid w:val="003E66A1"/>
    <w:rsid w:val="00474A15"/>
    <w:rsid w:val="00550F05"/>
    <w:rsid w:val="007C717F"/>
    <w:rsid w:val="00E27C9B"/>
    <w:rsid w:val="0104493E"/>
    <w:rsid w:val="01154900"/>
    <w:rsid w:val="01617211"/>
    <w:rsid w:val="01F17A09"/>
    <w:rsid w:val="01F60773"/>
    <w:rsid w:val="01FA3214"/>
    <w:rsid w:val="029A22D3"/>
    <w:rsid w:val="02BF1304"/>
    <w:rsid w:val="03035935"/>
    <w:rsid w:val="036A574B"/>
    <w:rsid w:val="03E52BE0"/>
    <w:rsid w:val="040317EE"/>
    <w:rsid w:val="044B7594"/>
    <w:rsid w:val="04A275CD"/>
    <w:rsid w:val="04A4787B"/>
    <w:rsid w:val="04C72532"/>
    <w:rsid w:val="051931EE"/>
    <w:rsid w:val="05A858E3"/>
    <w:rsid w:val="05B434DA"/>
    <w:rsid w:val="06D373CC"/>
    <w:rsid w:val="07D44958"/>
    <w:rsid w:val="07DB7FCF"/>
    <w:rsid w:val="08DF5C89"/>
    <w:rsid w:val="091C3BC1"/>
    <w:rsid w:val="09413174"/>
    <w:rsid w:val="09D90080"/>
    <w:rsid w:val="0A0B7AC8"/>
    <w:rsid w:val="0A1349D4"/>
    <w:rsid w:val="0A6A0048"/>
    <w:rsid w:val="0A8522AD"/>
    <w:rsid w:val="0B14158B"/>
    <w:rsid w:val="0B61769D"/>
    <w:rsid w:val="0B7A2B83"/>
    <w:rsid w:val="0B7F5D75"/>
    <w:rsid w:val="0BCA3494"/>
    <w:rsid w:val="0BD41F4C"/>
    <w:rsid w:val="0BDA11FD"/>
    <w:rsid w:val="0CA81750"/>
    <w:rsid w:val="0D3476F1"/>
    <w:rsid w:val="0D496A64"/>
    <w:rsid w:val="0D806030"/>
    <w:rsid w:val="0DA01912"/>
    <w:rsid w:val="0F213C2C"/>
    <w:rsid w:val="0F6374C4"/>
    <w:rsid w:val="0FB056A7"/>
    <w:rsid w:val="101C0036"/>
    <w:rsid w:val="10264A11"/>
    <w:rsid w:val="105C6561"/>
    <w:rsid w:val="108F16F4"/>
    <w:rsid w:val="109600DC"/>
    <w:rsid w:val="11595212"/>
    <w:rsid w:val="11A55E09"/>
    <w:rsid w:val="11D95040"/>
    <w:rsid w:val="11EF532E"/>
    <w:rsid w:val="12411FD6"/>
    <w:rsid w:val="12747CB6"/>
    <w:rsid w:val="12957C2C"/>
    <w:rsid w:val="12B74046"/>
    <w:rsid w:val="12E7492B"/>
    <w:rsid w:val="12F558B5"/>
    <w:rsid w:val="13203A1B"/>
    <w:rsid w:val="13286A04"/>
    <w:rsid w:val="15244FBD"/>
    <w:rsid w:val="155B6F0B"/>
    <w:rsid w:val="15A31C3D"/>
    <w:rsid w:val="15A44D56"/>
    <w:rsid w:val="15D236D8"/>
    <w:rsid w:val="15E06A7D"/>
    <w:rsid w:val="16517324"/>
    <w:rsid w:val="16D50F3F"/>
    <w:rsid w:val="17312619"/>
    <w:rsid w:val="176E0FB5"/>
    <w:rsid w:val="17E51656"/>
    <w:rsid w:val="17F65611"/>
    <w:rsid w:val="180052A4"/>
    <w:rsid w:val="18576B04"/>
    <w:rsid w:val="18AF707B"/>
    <w:rsid w:val="18E36490"/>
    <w:rsid w:val="18FC5F33"/>
    <w:rsid w:val="192817FA"/>
    <w:rsid w:val="194F4FC6"/>
    <w:rsid w:val="1A6622C5"/>
    <w:rsid w:val="1A6E7B61"/>
    <w:rsid w:val="1A715058"/>
    <w:rsid w:val="1B0852D8"/>
    <w:rsid w:val="1B1D3F0F"/>
    <w:rsid w:val="1B3B1CB8"/>
    <w:rsid w:val="1BA22E0F"/>
    <w:rsid w:val="1BB43BBE"/>
    <w:rsid w:val="1BEA0AC8"/>
    <w:rsid w:val="1C252021"/>
    <w:rsid w:val="1CB53B78"/>
    <w:rsid w:val="1D37200B"/>
    <w:rsid w:val="1D4943D7"/>
    <w:rsid w:val="1D7E4344"/>
    <w:rsid w:val="1E7908C6"/>
    <w:rsid w:val="1E8A6AB3"/>
    <w:rsid w:val="1EB57C5E"/>
    <w:rsid w:val="1F233F5E"/>
    <w:rsid w:val="1F7F4D25"/>
    <w:rsid w:val="2080016D"/>
    <w:rsid w:val="209B4FA7"/>
    <w:rsid w:val="214100E4"/>
    <w:rsid w:val="21D02A2F"/>
    <w:rsid w:val="21D56297"/>
    <w:rsid w:val="221E73F8"/>
    <w:rsid w:val="224C18E4"/>
    <w:rsid w:val="22B17E0E"/>
    <w:rsid w:val="22CD6F6E"/>
    <w:rsid w:val="22F73276"/>
    <w:rsid w:val="233174FD"/>
    <w:rsid w:val="23D34A58"/>
    <w:rsid w:val="23DC1B5F"/>
    <w:rsid w:val="24482E6D"/>
    <w:rsid w:val="24C85C3F"/>
    <w:rsid w:val="25F45F06"/>
    <w:rsid w:val="26236539"/>
    <w:rsid w:val="262C00EB"/>
    <w:rsid w:val="263C121F"/>
    <w:rsid w:val="269C2613"/>
    <w:rsid w:val="26B722D5"/>
    <w:rsid w:val="26D13C11"/>
    <w:rsid w:val="26E659A8"/>
    <w:rsid w:val="273D0B66"/>
    <w:rsid w:val="274C25E4"/>
    <w:rsid w:val="277C17E7"/>
    <w:rsid w:val="278502D8"/>
    <w:rsid w:val="278A1841"/>
    <w:rsid w:val="27BA6B2E"/>
    <w:rsid w:val="27BC5DEA"/>
    <w:rsid w:val="282F4953"/>
    <w:rsid w:val="28B0464B"/>
    <w:rsid w:val="28C8445F"/>
    <w:rsid w:val="2920429C"/>
    <w:rsid w:val="292A336C"/>
    <w:rsid w:val="2940493E"/>
    <w:rsid w:val="294A2BB3"/>
    <w:rsid w:val="29E12FD6"/>
    <w:rsid w:val="2ACF7D27"/>
    <w:rsid w:val="2B7114FB"/>
    <w:rsid w:val="2B922AE7"/>
    <w:rsid w:val="2BAA609E"/>
    <w:rsid w:val="2BC05F43"/>
    <w:rsid w:val="2C931228"/>
    <w:rsid w:val="2CCA213D"/>
    <w:rsid w:val="2D811081"/>
    <w:rsid w:val="2DB4238F"/>
    <w:rsid w:val="2DE3669A"/>
    <w:rsid w:val="2E514EF7"/>
    <w:rsid w:val="2E8B6726"/>
    <w:rsid w:val="2EDD6129"/>
    <w:rsid w:val="2F1A178D"/>
    <w:rsid w:val="2F240E65"/>
    <w:rsid w:val="2F44743E"/>
    <w:rsid w:val="2F9652B7"/>
    <w:rsid w:val="2FCA3258"/>
    <w:rsid w:val="2FF124EE"/>
    <w:rsid w:val="308E5A55"/>
    <w:rsid w:val="313C59EB"/>
    <w:rsid w:val="3152520E"/>
    <w:rsid w:val="316B78E4"/>
    <w:rsid w:val="316E7DF0"/>
    <w:rsid w:val="31A65F4E"/>
    <w:rsid w:val="31CC3212"/>
    <w:rsid w:val="322D17D7"/>
    <w:rsid w:val="326700B2"/>
    <w:rsid w:val="32934927"/>
    <w:rsid w:val="3324299D"/>
    <w:rsid w:val="33294694"/>
    <w:rsid w:val="338D077F"/>
    <w:rsid w:val="347A68F8"/>
    <w:rsid w:val="34B076B9"/>
    <w:rsid w:val="34C5219B"/>
    <w:rsid w:val="34CE72A2"/>
    <w:rsid w:val="359F6A89"/>
    <w:rsid w:val="35E806C0"/>
    <w:rsid w:val="363B44C3"/>
    <w:rsid w:val="36603F29"/>
    <w:rsid w:val="366B1589"/>
    <w:rsid w:val="369938DF"/>
    <w:rsid w:val="36AA789A"/>
    <w:rsid w:val="37230F29"/>
    <w:rsid w:val="377F0D27"/>
    <w:rsid w:val="38196A86"/>
    <w:rsid w:val="386808FA"/>
    <w:rsid w:val="38C5793C"/>
    <w:rsid w:val="39442B1D"/>
    <w:rsid w:val="39535FC7"/>
    <w:rsid w:val="398E2197"/>
    <w:rsid w:val="39AE76A2"/>
    <w:rsid w:val="39BB78C7"/>
    <w:rsid w:val="3A83725E"/>
    <w:rsid w:val="3BAC043D"/>
    <w:rsid w:val="3C035857"/>
    <w:rsid w:val="3C3A521C"/>
    <w:rsid w:val="3C6F3118"/>
    <w:rsid w:val="3D300FEA"/>
    <w:rsid w:val="3D356118"/>
    <w:rsid w:val="3D617153"/>
    <w:rsid w:val="3D681022"/>
    <w:rsid w:val="3ECE1853"/>
    <w:rsid w:val="3EFC605D"/>
    <w:rsid w:val="3F1C5E85"/>
    <w:rsid w:val="3F47037C"/>
    <w:rsid w:val="3F8F3AD1"/>
    <w:rsid w:val="3FF67573"/>
    <w:rsid w:val="408847A8"/>
    <w:rsid w:val="40B3559D"/>
    <w:rsid w:val="40D93256"/>
    <w:rsid w:val="41465083"/>
    <w:rsid w:val="41725113"/>
    <w:rsid w:val="417E40F4"/>
    <w:rsid w:val="420936C7"/>
    <w:rsid w:val="42700570"/>
    <w:rsid w:val="42756FAE"/>
    <w:rsid w:val="42E4348B"/>
    <w:rsid w:val="43486A9E"/>
    <w:rsid w:val="44132D23"/>
    <w:rsid w:val="441F7EFA"/>
    <w:rsid w:val="442036C1"/>
    <w:rsid w:val="44873A1C"/>
    <w:rsid w:val="44C304A5"/>
    <w:rsid w:val="44F7658B"/>
    <w:rsid w:val="457D260A"/>
    <w:rsid w:val="45C36283"/>
    <w:rsid w:val="460A52C3"/>
    <w:rsid w:val="467852BF"/>
    <w:rsid w:val="47A45C40"/>
    <w:rsid w:val="47EC08F5"/>
    <w:rsid w:val="487B1A7F"/>
    <w:rsid w:val="488C5646"/>
    <w:rsid w:val="48F331DF"/>
    <w:rsid w:val="49105C83"/>
    <w:rsid w:val="494C3B78"/>
    <w:rsid w:val="49DC3DB7"/>
    <w:rsid w:val="4A2819C9"/>
    <w:rsid w:val="4A60603F"/>
    <w:rsid w:val="4A8829F8"/>
    <w:rsid w:val="4ADB5E1D"/>
    <w:rsid w:val="4B14275E"/>
    <w:rsid w:val="4B18751A"/>
    <w:rsid w:val="4B985ABC"/>
    <w:rsid w:val="4C5C55DE"/>
    <w:rsid w:val="4CBF257F"/>
    <w:rsid w:val="4CDD5E7C"/>
    <w:rsid w:val="4CFB09F8"/>
    <w:rsid w:val="4D2B308B"/>
    <w:rsid w:val="4D8E361A"/>
    <w:rsid w:val="4DB72C31"/>
    <w:rsid w:val="4DC808DA"/>
    <w:rsid w:val="4DD12C3B"/>
    <w:rsid w:val="4E700121"/>
    <w:rsid w:val="4E726054"/>
    <w:rsid w:val="4EA529C9"/>
    <w:rsid w:val="4F3E06F5"/>
    <w:rsid w:val="4FAE3B00"/>
    <w:rsid w:val="4FB45824"/>
    <w:rsid w:val="50EB7BED"/>
    <w:rsid w:val="510E23B8"/>
    <w:rsid w:val="51542485"/>
    <w:rsid w:val="51563B0A"/>
    <w:rsid w:val="519B6306"/>
    <w:rsid w:val="51CB0999"/>
    <w:rsid w:val="51FD06F7"/>
    <w:rsid w:val="521A7DB0"/>
    <w:rsid w:val="527C5414"/>
    <w:rsid w:val="52AD4542"/>
    <w:rsid w:val="53155038"/>
    <w:rsid w:val="531620E8"/>
    <w:rsid w:val="5325232B"/>
    <w:rsid w:val="5411367F"/>
    <w:rsid w:val="5411465D"/>
    <w:rsid w:val="544F09DA"/>
    <w:rsid w:val="54EF2655"/>
    <w:rsid w:val="55676DD2"/>
    <w:rsid w:val="55AC0AE1"/>
    <w:rsid w:val="55F04E72"/>
    <w:rsid w:val="56024BA5"/>
    <w:rsid w:val="56694C24"/>
    <w:rsid w:val="566E5D97"/>
    <w:rsid w:val="568D5D28"/>
    <w:rsid w:val="571132F2"/>
    <w:rsid w:val="57256D9D"/>
    <w:rsid w:val="573945F7"/>
    <w:rsid w:val="57D976CA"/>
    <w:rsid w:val="59096FBD"/>
    <w:rsid w:val="591B0458"/>
    <w:rsid w:val="594554D5"/>
    <w:rsid w:val="5A5C0D28"/>
    <w:rsid w:val="5A655703"/>
    <w:rsid w:val="5B8F6EDB"/>
    <w:rsid w:val="5CC70FE5"/>
    <w:rsid w:val="5D2E1F91"/>
    <w:rsid w:val="5D5A7075"/>
    <w:rsid w:val="5D6F0D72"/>
    <w:rsid w:val="5D6F1B2C"/>
    <w:rsid w:val="5D794A37"/>
    <w:rsid w:val="5E7303EE"/>
    <w:rsid w:val="5EB822A5"/>
    <w:rsid w:val="5ED03A93"/>
    <w:rsid w:val="5EEA5E69"/>
    <w:rsid w:val="5F15455A"/>
    <w:rsid w:val="5F182219"/>
    <w:rsid w:val="5F4C43F1"/>
    <w:rsid w:val="5FC56EB7"/>
    <w:rsid w:val="5FCF3FEF"/>
    <w:rsid w:val="5FDE21DF"/>
    <w:rsid w:val="602C35CB"/>
    <w:rsid w:val="612B6E96"/>
    <w:rsid w:val="61705019"/>
    <w:rsid w:val="6189617B"/>
    <w:rsid w:val="61A42FB4"/>
    <w:rsid w:val="61AE52F7"/>
    <w:rsid w:val="62261C1B"/>
    <w:rsid w:val="62356D0A"/>
    <w:rsid w:val="624C1682"/>
    <w:rsid w:val="626478A3"/>
    <w:rsid w:val="626D3C8E"/>
    <w:rsid w:val="627C7599"/>
    <w:rsid w:val="62854B94"/>
    <w:rsid w:val="63891487"/>
    <w:rsid w:val="648C4997"/>
    <w:rsid w:val="65A12A86"/>
    <w:rsid w:val="65D85C28"/>
    <w:rsid w:val="66415505"/>
    <w:rsid w:val="665A00E6"/>
    <w:rsid w:val="665C20B0"/>
    <w:rsid w:val="66FE4F15"/>
    <w:rsid w:val="677A27ED"/>
    <w:rsid w:val="67A27F23"/>
    <w:rsid w:val="68653736"/>
    <w:rsid w:val="68CD1043"/>
    <w:rsid w:val="6A2F784C"/>
    <w:rsid w:val="6A470981"/>
    <w:rsid w:val="6A530054"/>
    <w:rsid w:val="6A6032F6"/>
    <w:rsid w:val="6B212F76"/>
    <w:rsid w:val="6B4F3F91"/>
    <w:rsid w:val="6B923E7E"/>
    <w:rsid w:val="6BD46244"/>
    <w:rsid w:val="6C0E1756"/>
    <w:rsid w:val="6CDF3A2A"/>
    <w:rsid w:val="6D0E4824"/>
    <w:rsid w:val="6D116E58"/>
    <w:rsid w:val="6D197740"/>
    <w:rsid w:val="6D9D7236"/>
    <w:rsid w:val="6E2D7E33"/>
    <w:rsid w:val="6E642498"/>
    <w:rsid w:val="6E915583"/>
    <w:rsid w:val="6E930639"/>
    <w:rsid w:val="6EBE3907"/>
    <w:rsid w:val="6F285FE2"/>
    <w:rsid w:val="6F2D26FC"/>
    <w:rsid w:val="6F433E0D"/>
    <w:rsid w:val="6FB470AF"/>
    <w:rsid w:val="70147557"/>
    <w:rsid w:val="704716DB"/>
    <w:rsid w:val="70B3568B"/>
    <w:rsid w:val="70DE5F08"/>
    <w:rsid w:val="70EC29B6"/>
    <w:rsid w:val="71094BE2"/>
    <w:rsid w:val="71A00934"/>
    <w:rsid w:val="71EF5B86"/>
    <w:rsid w:val="72604400"/>
    <w:rsid w:val="727C634F"/>
    <w:rsid w:val="72964253"/>
    <w:rsid w:val="73D56FFD"/>
    <w:rsid w:val="73E72D35"/>
    <w:rsid w:val="73EC6A75"/>
    <w:rsid w:val="74780A2A"/>
    <w:rsid w:val="747C50B8"/>
    <w:rsid w:val="748702F8"/>
    <w:rsid w:val="749869A9"/>
    <w:rsid w:val="75467B72"/>
    <w:rsid w:val="75E523CB"/>
    <w:rsid w:val="76261D92"/>
    <w:rsid w:val="765C3B44"/>
    <w:rsid w:val="76735C91"/>
    <w:rsid w:val="76BE73D0"/>
    <w:rsid w:val="776E39F1"/>
    <w:rsid w:val="779976A9"/>
    <w:rsid w:val="77B95C51"/>
    <w:rsid w:val="7853587F"/>
    <w:rsid w:val="787212BF"/>
    <w:rsid w:val="79153174"/>
    <w:rsid w:val="793C55CB"/>
    <w:rsid w:val="795A0C9B"/>
    <w:rsid w:val="79620E5B"/>
    <w:rsid w:val="796740A3"/>
    <w:rsid w:val="798219D5"/>
    <w:rsid w:val="7A1A39BC"/>
    <w:rsid w:val="7A8B6FAC"/>
    <w:rsid w:val="7AAF05A8"/>
    <w:rsid w:val="7AB160CE"/>
    <w:rsid w:val="7BFF2E69"/>
    <w:rsid w:val="7C217284"/>
    <w:rsid w:val="7C875809"/>
    <w:rsid w:val="7CDF6A8C"/>
    <w:rsid w:val="7D2830EC"/>
    <w:rsid w:val="7DBB459D"/>
    <w:rsid w:val="7DF32EA2"/>
    <w:rsid w:val="7E5C27F5"/>
    <w:rsid w:val="7E8D29AE"/>
    <w:rsid w:val="7EF219DA"/>
    <w:rsid w:val="7F013D81"/>
    <w:rsid w:val="7F2528E2"/>
    <w:rsid w:val="7F4A15B7"/>
    <w:rsid w:val="7F4B3661"/>
    <w:rsid w:val="7F645E05"/>
    <w:rsid w:val="7F7632EA"/>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Body Text Indent 2"/>
    <w:basedOn w:val="1"/>
    <w:qFormat/>
    <w:uiPriority w:val="0"/>
    <w:pPr>
      <w:spacing w:line="590" w:lineRule="exact"/>
      <w:ind w:firstLine="880" w:firstLineChars="200"/>
    </w:pPr>
    <w:rPr>
      <w:rFonts w:eastAsia="方正仿宋_GBK"/>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color w:val="CC0000"/>
    </w:rPr>
  </w:style>
  <w:style w:type="character" w:styleId="16">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3608</Words>
  <Characters>3902</Characters>
  <Lines>0</Lines>
  <Paragraphs>0</Paragraphs>
  <TotalTime>27</TotalTime>
  <ScaleCrop>false</ScaleCrop>
  <LinksUpToDate>false</LinksUpToDate>
  <CharactersWithSpaces>4015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2022-10-12T06:46:00Z</dcterms:created>
  <dc:creator>博亚展览李涛</dc:creator>
  <cp:lastModifiedBy>杨小欣。 ҉҉҉҉҉҉҉҉</cp:lastModifiedBy>
  <dcterms:modified xsi:type="dcterms:W3CDTF">2025-05-08T11:25:43Z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87D060B9CC7A43F9A1FDA148A36C56B4_13</vt:lpwstr>
  </property>
  <property fmtid="{D5CDD505-2E9C-101B-9397-08002B2CF9AE}" pid="4" name="KSOTemplateDocerSaveRecord">
    <vt:lpwstr>eyJoZGlkIjoiMTUwMGRlYjM5YzNmMDU4ZDc2YjdlNzQ1YmJkZDhiNjIiLCJ1c2VySWQiOiIyMzE0MjI1MDYifQ==</vt:lpwstr>
  </property>
</Properties>
</file>