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0354D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一、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展会名称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大湾区明日纪元人形机器人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 xml:space="preserve">产业展览会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二、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展会时间：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2025年10月31日-11月2日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三、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展会地点：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广东珠海国际会展中心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四、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同期展会：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第四届粤港澳大湾区服务贸易大会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同期活动：</w:t>
      </w:r>
    </w:p>
    <w:p w14:paraId="3EC39DB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1、珠海国际灵巧操作挑战赛：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聚焦具身智能前沿技术，设置百万奖金池，邀请全球顶尖团队在生活应用、生产应用两大场景展开实战竞技。由院士专家评审，推动技术产业化落地，同时面向青少年开展科普教育，打造集竞技、产业、教育于一体的国际化平台。</w:t>
      </w:r>
    </w:p>
    <w:p w14:paraId="2402E3A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2、机器人高校院长论坛：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汇聚全球顶尖高校机器人学院院长、科研机构负责人及企业技术高管，围绕人形机器人核心技术突破、人才培养成果转化等议题展开深度对话，设置院长一对一对接会议，促进产学研融合，加速人形机器人技术转化与落地。</w:t>
      </w:r>
    </w:p>
    <w:p w14:paraId="04AC5D3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3、机器人产业投融资圆桌论坛：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邀请天鹰资本、红杉资本、高瓴资本等顶级投资机构进行圆桌论坛，深挖行业点，解析行业投资逻辑与估值体系。组织初创企业及潜力企业进行路演，直通大湾区科创基金及产业资本。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五、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展会规模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：展览面积：3万平方米、参展企业：500家、专业观众：2万人次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六、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展会概况：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由广东省人民政府、香港特别行政区政府、澳门特别行政区政府指导，广东省商务厅、珠海市人民政府、香港商务及经济发展局、澳门招商投资促进局主办的第四届大湾区服务贸易大会拟于2025年10月31日-11月2日在珠海举行。本次大会围绕服务贸易高质量发展、数字贸易领航区建设、助力企业“出海”、推动粤港澳三地深度融合，把粤港澳大湾区服务贸易大会打造成区域化专业化品牌展会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    2024年第三届大湾区服贸大会共吸引全球28个国家和地区的111家境外采购商参与，其中80%为总经理及以上级别高管，采购需求总额达110亿元人民币。通过精准匹配机制，大会组织500家参展企业与采购商完成700场B2E洽谈，最终达成113项合作意向，意向签约金额40亿元，充分彰显了平台的资源整合实效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     人工智能作为服务贸易高质量发展的核心引擎，其集成载体-一人形机器人正加速渗透工业制造、医疗护理商业服务等关键领域，全球市场预期将迎来爆发式增长。2025年工业和信息化部发布了《人形机器人创新发展指导意见》为行业的后续发展指明了方向。广东省出台了《广东省建设现代化产业体系2025年行动计划》和《广东省推动人工智能与机器人产业创新发展若干政策措施》等政策，计划2025年总投资1万亿元(制造业占比50%)启动1500个重点项目，到2035年建成全球人形机器人应用创新高地，形成千亿级市场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      作为本届大会的创新亮点，2025大湾区明日纪元人形机器人展首次与服贸会同期同馆举办，聚焦人形机器人这-颠覆性细分技术领域，汇集全行业上中下游企业，通过“服务场景+硬科技"双向赋能模式，既为服务贸易行业注入智能化基因，亦为前沿科技开辟商业化路径，全面激活大湾区“科创+贸易"的乘数效应，致力于打造全球人形机器人产业的风向标，推动人形机器人从实验室走向规模化应用，引领全球智能科技革命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七、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展会亮点：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1、政策强力支持 三地联袂打造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粤港澳首次协同推出人形机器人专题展，广东省政府、香港、澳门特别行政区政府共同指导主要领导现场参观展会，深入与参展参会企业互动。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2、立足大湾区，拓展全球市场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依托大湾区国际化区位优势，汇聚全球顶尖采购商、投资机构及行业领袖，打造人形机器人产业国际交流平台。通过跨境电商、全球化供应链服务及国际媒体矩阵(央视、路透社等)，助力企业开拓海外市场。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3、聚焦人形机器人细分市场，全产业链覆盖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专注人形机器人这一颠覆性技术领域，覆盖“芯片-硬件-算法-本体-应用“全产业链，展示从技术研发到商业化落地的完整生态。聚焦人形机器人细分领域，包括工业级、服务型、特种人形机器人，以及脑机接口、元字宙联动等前沿技术融合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4、创新场景赋能，打造国际标杆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首创“服务场景+硬科技”双向赋能模式，推动人形机器人在金融、医疗、物流等领域的商业化应用。设置沉浸式体验区、技术路演及行业论坛，为企业提供全球曝光与品牌升级机会。</w:t>
      </w:r>
    </w:p>
    <w:p w14:paraId="0F82900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rightChars="0"/>
        <w:jc w:val="both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5、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设置科研成果转化展示与交易专区，加速产学研融合</w:t>
      </w:r>
    </w:p>
    <w:p w14:paraId="49B41EA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集中展示高校及科研机构最新技术成果，搭建产学研对接平台，促进技术转移与商业化落地。通过专利拍卖、技术合作一对一项目治谈等环节，实现"实验室-产业界"无缝衔接，助力创新成果快速转化应用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八、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参展范围：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（1）核心技术与基础支撑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- 核心硬件与元器件。如高端芯片，传感器，伺服电机、精密减速器、关节模组，灵巧手、仿生皮肤、仿生骨骼，能源模块等。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- 软件与算法。如机器人操作系统，人工智能算法，运动控制算法，机器视觉、语音识别、自然语言处理技术，仿真与数字孪生平台等。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- 新材料与制造技术。如轻量化合金、碳纤维复合材料，柔性电子材料、自修复材料，3D打印技术、精密加工设备等。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- 研发工具与生态：开源机器人平台，仿真测试软件，产学研合作成果等。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（2）机器人制造与系统集成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-人形机器人本体制造商。如工业级人形机器人（工厂协作、高危场景作业），服务型人形机器人（医疗护理、教育陪伴、商业服务），特种人形机器人（救援、勘探、军事应用）等。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- 关键技术集成。如模块化设计，人机交互系统，多机协同技术等。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- 生产与测试。如自动化装配线、机器人专用生产设备，可靠性测试设备，安全认证与标准化服务等。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- 新兴技术融合。如脑机接口（BCI）技术，元宇宙与虚拟人联动技术，具身智能（Embodied AI）解决方案等。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（3）应用场景与商业化应用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- 行业应用解决方案。如工业领域，医疗领域，消费领域，公共服务领域等。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- 商业化服务生态。如机器人租赁与订阅服务，云端机器人服务，本地化部署与运维支持等。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- 渠道与市场拓展。如代理商、分销商网络，跨境电商与全球化供应链服务，行业标杆案例展示等。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（4）具身智能机器人专项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- 具身智能核心技术与平台:如硬件与感知系统，算法与软件框架等。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- 具身智能机器人本体与系统:如通用型具身智能体，垂直领域专用机器人等。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- 人机交互与协同技术:如代理商、分销商网络，跨境电商与全球化供应链服务，行业标杆案例展示等。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- 测试验证与标准化:如具身智能基准测试体系，安全与伦理标准等。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九、参展费用：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895"/>
        <w:gridCol w:w="3495"/>
      </w:tblGrid>
      <w:tr w14:paraId="66646C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EC0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展会类型</w:t>
            </w:r>
          </w:p>
        </w:tc>
        <w:tc>
          <w:tcPr>
            <w:tcW w:w="2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C44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面积</w:t>
            </w:r>
          </w:p>
        </w:tc>
        <w:tc>
          <w:tcPr>
            <w:tcW w:w="3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088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价格</w:t>
            </w:r>
          </w:p>
        </w:tc>
      </w:tr>
      <w:tr w14:paraId="12229E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894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标准展位</w:t>
            </w:r>
          </w:p>
        </w:tc>
        <w:tc>
          <w:tcPr>
            <w:tcW w:w="2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B59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9㎡</w:t>
            </w:r>
          </w:p>
        </w:tc>
        <w:tc>
          <w:tcPr>
            <w:tcW w:w="3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84A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1710元/㎡</w:t>
            </w:r>
          </w:p>
        </w:tc>
      </w:tr>
      <w:tr w14:paraId="2196F4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960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室内光地</w:t>
            </w:r>
          </w:p>
        </w:tc>
        <w:tc>
          <w:tcPr>
            <w:tcW w:w="2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F4D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36㎡起租</w:t>
            </w:r>
          </w:p>
        </w:tc>
        <w:tc>
          <w:tcPr>
            <w:tcW w:w="3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B8F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1550元/㎡</w:t>
            </w:r>
          </w:p>
        </w:tc>
      </w:tr>
    </w:tbl>
    <w:p w14:paraId="557650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</w:rPr>
      </w:pP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十、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立即参展，把握商机：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邹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  <w:lang w:val="en-US" w:eastAsia="zh-CN"/>
        </w:rPr>
        <w:t>女士：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19868590509（微信同号）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7"/>
          <w:szCs w:val="27"/>
          <w:shd w:val="clear" w:fill="FFFFFF"/>
        </w:rPr>
        <w:t>邮箱：yuanru.zou@rtmworld.com</w:t>
      </w:r>
    </w:p>
    <w:p w14:paraId="5F9D1C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D1076"/>
    <w:rsid w:val="063D373D"/>
    <w:rsid w:val="0EAB1332"/>
    <w:rsid w:val="20C73955"/>
    <w:rsid w:val="24BD1076"/>
    <w:rsid w:val="2A093A74"/>
    <w:rsid w:val="48FD7932"/>
    <w:rsid w:val="4EF73A25"/>
    <w:rsid w:val="56D66826"/>
    <w:rsid w:val="58F4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2486</Words>
  <Characters>2614</Characters>
  <Lines>0</Lines>
  <Paragraphs>0</Paragraphs>
  <TotalTime>51</TotalTime>
  <ScaleCrop>false</ScaleCrop>
  <LinksUpToDate>false</LinksUpToDate>
  <CharactersWithSpaces>2692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2025-04-16T01:03:00Z</dcterms:created>
  <dc:creator>邹邹19868590509</dc:creator>
  <cp:lastModifiedBy>邹邹19868590509</cp:lastModifiedBy>
  <dcterms:modified xsi:type="dcterms:W3CDTF">2025-05-30T01:57:33Z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2C543C98851B44369B6AFB5F3057CD83_11</vt:lpwstr>
  </property>
  <property fmtid="{D5CDD505-2E9C-101B-9397-08002B2CF9AE}" pid="4" name="KSOTemplateDocerSaveRecord">
    <vt:lpwstr>eyJoZGlkIjoiMWE2ZDI5YjMxMWU3ZmU1NTljYmVhOWY3OThlNWY2YjciLCJ1c2VySWQiOiIxNjI2OTgxMzY3In0=</vt:lpwstr>
  </property>
</Properties>
</file>