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FFDCE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center"/>
        <w:rPr>
          <w:sz w:val="33"/>
          <w:szCs w:val="33"/>
          <w:bdr w:val="none" w:color="auto" w:sz="0" w:space="0"/>
        </w:rPr>
      </w:pPr>
      <w:r>
        <w:rPr>
          <w:sz w:val="33"/>
          <w:szCs w:val="33"/>
          <w:bdr w:val="none" w:color="auto" w:sz="0" w:space="0"/>
        </w:rPr>
        <w:t>CIMT Expo2025 | 第二届智慧矿山高质量发展大会暨</w:t>
      </w:r>
    </w:p>
    <w:p w14:paraId="5B0C0AF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center"/>
        <w:rPr>
          <w:sz w:val="33"/>
          <w:szCs w:val="33"/>
        </w:rPr>
      </w:pPr>
      <w:bookmarkStart w:id="0" w:name="_GoBack"/>
      <w:bookmarkEnd w:id="0"/>
      <w:r>
        <w:rPr>
          <w:sz w:val="33"/>
          <w:szCs w:val="33"/>
          <w:bdr w:val="none" w:color="auto" w:sz="0" w:space="0"/>
        </w:rPr>
        <w:t>中国（内蒙古）矿业科技创新博览会</w:t>
      </w:r>
    </w:p>
    <w:p w14:paraId="55A530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ascii="宋体" w:hAnsi="宋体" w:eastAsia="宋体" w:cs="宋体"/>
          <w:kern w:val="0"/>
          <w:sz w:val="24"/>
          <w:szCs w:val="24"/>
          <w:bdr w:val="none" w:color="auto" w:sz="0" w:space="0"/>
          <w:lang w:val="en-US" w:eastAsia="zh-CN" w:bidi="ar"/>
        </w:rPr>
        <w:drawing>
          <wp:inline distT="0" distB="0" distL="114300" distR="114300">
            <wp:extent cx="5271770" cy="2270760"/>
            <wp:effectExtent l="0" t="0" r="5080" b="15240"/>
            <wp:docPr id="1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7"/>
                    <pic:cNvPicPr>
                      <a:picLocks noChangeAspect="1"/>
                    </pic:cNvPicPr>
                  </pic:nvPicPr>
                  <pic:blipFill>
                    <a:blip r:embed="rId4"/>
                    <a:stretch>
                      <a:fillRect/>
                    </a:stretch>
                  </pic:blipFill>
                  <pic:spPr>
                    <a:xfrm>
                      <a:off x="0" y="0"/>
                      <a:ext cx="5271770" cy="227076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66690" cy="585470"/>
            <wp:effectExtent l="0" t="0" r="10160" b="5080"/>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5"/>
                    <a:stretch>
                      <a:fillRect/>
                    </a:stretch>
                  </pic:blipFill>
                  <pic:spPr>
                    <a:xfrm>
                      <a:off x="0" y="0"/>
                      <a:ext cx="5266690" cy="585470"/>
                    </a:xfrm>
                    <a:prstGeom prst="rect">
                      <a:avLst/>
                    </a:prstGeom>
                    <a:noFill/>
                    <a:ln w="9525">
                      <a:noFill/>
                    </a:ln>
                  </pic:spPr>
                </pic:pic>
              </a:graphicData>
            </a:graphic>
          </wp:inline>
        </w:drawing>
      </w:r>
    </w:p>
    <w:p w14:paraId="3DC5FE3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315" w:lineRule="atLeast"/>
        <w:ind w:left="0" w:right="0" w:firstLine="0"/>
        <w:jc w:val="both"/>
        <w:rPr>
          <w:rFonts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FFFFFF"/>
          <w:spacing w:val="8"/>
          <w:sz w:val="22"/>
          <w:szCs w:val="22"/>
          <w:bdr w:val="none" w:color="auto" w:sz="0" w:space="0"/>
          <w:shd w:val="clear" w:fill="021EAA"/>
        </w:rPr>
        <w:t> </w:t>
      </w:r>
      <w:r>
        <w:rPr>
          <w:rFonts w:hint="eastAsia" w:ascii="Microsoft YaHei UI" w:hAnsi="Microsoft YaHei UI" w:eastAsia="Microsoft YaHei UI" w:cs="Microsoft YaHei UI"/>
          <w:b/>
          <w:bCs/>
          <w:i w:val="0"/>
          <w:iCs w:val="0"/>
          <w:caps w:val="0"/>
          <w:color w:val="FFFFFF"/>
          <w:spacing w:val="8"/>
          <w:sz w:val="22"/>
          <w:szCs w:val="22"/>
          <w:bdr w:val="none" w:color="auto" w:sz="0" w:space="0"/>
          <w:shd w:val="clear" w:fill="FFFFFF"/>
        </w:rPr>
        <w:t> </w:t>
      </w:r>
      <w:r>
        <w:rPr>
          <w:rFonts w:hint="eastAsia" w:ascii="Microsoft YaHei UI" w:hAnsi="Microsoft YaHei UI" w:eastAsia="Microsoft YaHei UI" w:cs="Microsoft YaHei UI"/>
          <w:b/>
          <w:bCs/>
          <w:i w:val="0"/>
          <w:iCs w:val="0"/>
          <w:caps w:val="0"/>
          <w:color w:val="FFFFFF"/>
          <w:spacing w:val="8"/>
          <w:sz w:val="22"/>
          <w:szCs w:val="22"/>
          <w:bdr w:val="none" w:color="auto" w:sz="0" w:space="0"/>
          <w:shd w:val="clear" w:fill="021EAA"/>
        </w:rPr>
        <w:t>  联 合 主 办 :  </w:t>
      </w:r>
    </w:p>
    <w:p w14:paraId="6F511A1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内蒙古自治区智慧矿山研究会 | 内蒙古北京商会 | 中关村绿色矿山产业联盟</w:t>
      </w:r>
    </w:p>
    <w:p w14:paraId="6669EBE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FFFFFF"/>
          <w:spacing w:val="8"/>
          <w:sz w:val="22"/>
          <w:szCs w:val="22"/>
          <w:bdr w:val="none" w:color="auto" w:sz="0" w:space="0"/>
          <w:shd w:val="clear" w:fill="021EAA"/>
        </w:rPr>
        <w:t> </w:t>
      </w:r>
      <w:r>
        <w:rPr>
          <w:rFonts w:hint="eastAsia" w:ascii="Microsoft YaHei UI" w:hAnsi="Microsoft YaHei UI" w:eastAsia="Microsoft YaHei UI" w:cs="Microsoft YaHei UI"/>
          <w:b/>
          <w:bCs/>
          <w:i w:val="0"/>
          <w:iCs w:val="0"/>
          <w:caps w:val="0"/>
          <w:color w:val="FFFFFF"/>
          <w:spacing w:val="8"/>
          <w:sz w:val="22"/>
          <w:szCs w:val="22"/>
          <w:bdr w:val="none" w:color="auto" w:sz="0" w:space="0"/>
          <w:shd w:val="clear" w:fill="FFFFFF"/>
        </w:rPr>
        <w:t> </w:t>
      </w:r>
      <w:r>
        <w:rPr>
          <w:rFonts w:hint="eastAsia" w:ascii="Microsoft YaHei UI" w:hAnsi="Microsoft YaHei UI" w:eastAsia="Microsoft YaHei UI" w:cs="Microsoft YaHei UI"/>
          <w:b/>
          <w:bCs/>
          <w:i w:val="0"/>
          <w:iCs w:val="0"/>
          <w:caps w:val="0"/>
          <w:color w:val="FFFFFF"/>
          <w:spacing w:val="8"/>
          <w:sz w:val="22"/>
          <w:szCs w:val="22"/>
          <w:bdr w:val="none" w:color="auto" w:sz="0" w:space="0"/>
          <w:shd w:val="clear" w:fill="021EAA"/>
        </w:rPr>
        <w:t>  指 导 单 位 :  </w:t>
      </w:r>
    </w:p>
    <w:p w14:paraId="68FD9ED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中国安全生产协会 | 中国煤炭工业协会 | 中国煤炭学会 | 中国安全学会 | 中国煤炭加工利用协会 | 公共安全科学技术学会 | 内蒙古自治区工商业联合会 | 辽宁工程技术大学</w:t>
      </w:r>
    </w:p>
    <w:p w14:paraId="5F670B6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FFFFFF"/>
          <w:spacing w:val="8"/>
          <w:sz w:val="22"/>
          <w:szCs w:val="22"/>
          <w:bdr w:val="none" w:color="auto" w:sz="0" w:space="0"/>
          <w:shd w:val="clear" w:fill="021EAA"/>
        </w:rPr>
        <w:t> </w:t>
      </w:r>
      <w:r>
        <w:rPr>
          <w:rFonts w:hint="eastAsia" w:ascii="Microsoft YaHei UI" w:hAnsi="Microsoft YaHei UI" w:eastAsia="Microsoft YaHei UI" w:cs="Microsoft YaHei UI"/>
          <w:b/>
          <w:bCs/>
          <w:i w:val="0"/>
          <w:iCs w:val="0"/>
          <w:caps w:val="0"/>
          <w:spacing w:val="8"/>
          <w:sz w:val="22"/>
          <w:szCs w:val="22"/>
          <w:bdr w:val="none" w:color="auto" w:sz="0" w:space="0"/>
          <w:shd w:val="clear" w:fill="FFFFFF"/>
        </w:rPr>
        <w:t> </w:t>
      </w:r>
      <w:r>
        <w:rPr>
          <w:rFonts w:hint="eastAsia" w:ascii="Microsoft YaHei UI" w:hAnsi="Microsoft YaHei UI" w:eastAsia="Microsoft YaHei UI" w:cs="Microsoft YaHei UI"/>
          <w:b/>
          <w:bCs/>
          <w:i w:val="0"/>
          <w:iCs w:val="0"/>
          <w:caps w:val="0"/>
          <w:color w:val="FFFFFF"/>
          <w:spacing w:val="8"/>
          <w:sz w:val="22"/>
          <w:szCs w:val="22"/>
          <w:bdr w:val="none" w:color="auto" w:sz="0" w:space="0"/>
          <w:shd w:val="clear" w:fill="021EAA"/>
        </w:rPr>
        <w:t>  协 办 单 位 :  </w:t>
      </w:r>
    </w:p>
    <w:p w14:paraId="76CA9EA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中国矿业大学煤炭精细勘探与智能开发全国重点实验室 | 中国国际科技促进会先进制造与国际交流工作委员会 | 辽宁工程技术大学鄂尔多斯研究院 | 内蒙古煤炭工业协会 | 内蒙古矿业联合会 | 内蒙古安全生产职业健康协会</w:t>
      </w:r>
    </w:p>
    <w:p w14:paraId="7DE4098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FFFFFF"/>
          <w:spacing w:val="8"/>
          <w:sz w:val="22"/>
          <w:szCs w:val="22"/>
          <w:bdr w:val="none" w:color="auto" w:sz="0" w:space="0"/>
          <w:shd w:val="clear" w:fill="021EAA"/>
        </w:rPr>
        <w:t> </w:t>
      </w:r>
      <w:r>
        <w:rPr>
          <w:rFonts w:hint="eastAsia" w:ascii="Microsoft YaHei UI" w:hAnsi="Microsoft YaHei UI" w:eastAsia="Microsoft YaHei UI" w:cs="Microsoft YaHei UI"/>
          <w:b/>
          <w:bCs/>
          <w:i w:val="0"/>
          <w:iCs w:val="0"/>
          <w:caps w:val="0"/>
          <w:color w:val="FFFFFF"/>
          <w:spacing w:val="8"/>
          <w:sz w:val="22"/>
          <w:szCs w:val="22"/>
          <w:bdr w:val="none" w:color="auto" w:sz="0" w:space="0"/>
          <w:shd w:val="clear" w:fill="FFFFFF"/>
        </w:rPr>
        <w:t> </w:t>
      </w:r>
      <w:r>
        <w:rPr>
          <w:rFonts w:hint="eastAsia" w:ascii="Microsoft YaHei UI" w:hAnsi="Microsoft YaHei UI" w:eastAsia="Microsoft YaHei UI" w:cs="Microsoft YaHei UI"/>
          <w:b/>
          <w:bCs/>
          <w:i w:val="0"/>
          <w:iCs w:val="0"/>
          <w:caps w:val="0"/>
          <w:color w:val="FFFFFF"/>
          <w:spacing w:val="8"/>
          <w:sz w:val="22"/>
          <w:szCs w:val="22"/>
          <w:bdr w:val="none" w:color="auto" w:sz="0" w:space="0"/>
          <w:shd w:val="clear" w:fill="021EAA"/>
        </w:rPr>
        <w:t>  承 办 单 位 :   </w:t>
      </w:r>
    </w:p>
    <w:p w14:paraId="2B752C8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北京善道国际展览有限公司 | 中矿数智（内蒙古）科技有限公司</w:t>
      </w:r>
    </w:p>
    <w:p w14:paraId="0416332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FFFFFF"/>
          <w:spacing w:val="8"/>
          <w:sz w:val="22"/>
          <w:szCs w:val="22"/>
          <w:bdr w:val="none" w:color="auto" w:sz="0" w:space="0"/>
          <w:shd w:val="clear" w:fill="021EAA"/>
        </w:rPr>
        <w:t> </w:t>
      </w:r>
      <w:r>
        <w:rPr>
          <w:rFonts w:hint="eastAsia" w:ascii="Microsoft YaHei UI" w:hAnsi="Microsoft YaHei UI" w:eastAsia="Microsoft YaHei UI" w:cs="Microsoft YaHei UI"/>
          <w:b/>
          <w:bCs/>
          <w:i w:val="0"/>
          <w:iCs w:val="0"/>
          <w:caps w:val="0"/>
          <w:color w:val="FFFFFF"/>
          <w:spacing w:val="8"/>
          <w:sz w:val="22"/>
          <w:szCs w:val="22"/>
          <w:bdr w:val="none" w:color="auto" w:sz="0" w:space="0"/>
          <w:shd w:val="clear" w:fill="FFFFFF"/>
        </w:rPr>
        <w:t> </w:t>
      </w:r>
      <w:r>
        <w:rPr>
          <w:rFonts w:hint="eastAsia" w:ascii="Microsoft YaHei UI" w:hAnsi="Microsoft YaHei UI" w:eastAsia="Microsoft YaHei UI" w:cs="Microsoft YaHei UI"/>
          <w:b/>
          <w:bCs/>
          <w:i w:val="0"/>
          <w:iCs w:val="0"/>
          <w:caps w:val="0"/>
          <w:color w:val="FFFFFF"/>
          <w:spacing w:val="8"/>
          <w:sz w:val="22"/>
          <w:szCs w:val="22"/>
          <w:bdr w:val="none" w:color="auto" w:sz="0" w:space="0"/>
          <w:shd w:val="clear" w:fill="021EAA"/>
        </w:rPr>
        <w:t>  报 道 媒 体 ： </w:t>
      </w:r>
    </w:p>
    <w:p w14:paraId="0BE9184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021EAA"/>
          <w:spacing w:val="7"/>
          <w:sz w:val="22"/>
          <w:szCs w:val="22"/>
          <w:bdr w:val="none" w:color="auto" w:sz="0" w:space="0"/>
          <w:shd w:val="clear" w:fill="FFFFFF"/>
        </w:rPr>
        <w:t>1. </w:t>
      </w:r>
      <w:r>
        <w:rPr>
          <w:rFonts w:hint="eastAsia" w:ascii="Microsoft YaHei UI" w:hAnsi="Microsoft YaHei UI" w:eastAsia="Microsoft YaHei UI" w:cs="Microsoft YaHei UI"/>
          <w:b w:val="0"/>
          <w:bCs w:val="0"/>
          <w:i w:val="0"/>
          <w:iCs w:val="0"/>
          <w:caps w:val="0"/>
          <w:spacing w:val="15"/>
          <w:sz w:val="22"/>
          <w:szCs w:val="22"/>
          <w:bdr w:val="none" w:color="auto" w:sz="0" w:space="0"/>
          <w:shd w:val="clear" w:fill="FFFFFF"/>
        </w:rPr>
        <w:t>央媒：央视网、人民网（人民日报APP）、人民日报全国党媒、中国新闻网、中国网客户端（首发）、中国日报、光明网、新华网、经济日报（或旗下中国县域经济报）、学习强国（内蒙古）、环球网</w:t>
      </w:r>
    </w:p>
    <w:p w14:paraId="15E8601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021EAA"/>
          <w:spacing w:val="15"/>
          <w:sz w:val="22"/>
          <w:szCs w:val="22"/>
          <w:bdr w:val="none" w:color="auto" w:sz="0" w:space="0"/>
          <w:shd w:val="clear" w:fill="FFFFFF"/>
        </w:rPr>
        <w:t>2.</w:t>
      </w:r>
      <w:r>
        <w:rPr>
          <w:rFonts w:hint="eastAsia" w:ascii="Microsoft YaHei UI" w:hAnsi="Microsoft YaHei UI" w:eastAsia="Microsoft YaHei UI" w:cs="Microsoft YaHei UI"/>
          <w:b w:val="0"/>
          <w:bCs w:val="0"/>
          <w:i w:val="0"/>
          <w:iCs w:val="0"/>
          <w:caps w:val="0"/>
          <w:spacing w:val="15"/>
          <w:sz w:val="22"/>
          <w:szCs w:val="22"/>
          <w:bdr w:val="none" w:color="auto" w:sz="0" w:space="0"/>
          <w:shd w:val="clear" w:fill="FFFFFF"/>
        </w:rPr>
        <w:t> 地方媒体：内蒙古电视台、呼和浩特电视台、内蒙古日报、正北方网、内蒙古经济报、北疆新闻网</w:t>
      </w:r>
    </w:p>
    <w:p w14:paraId="36E5BB6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80" w:afterAutospacing="0"/>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021EAA"/>
          <w:spacing w:val="15"/>
          <w:sz w:val="22"/>
          <w:szCs w:val="22"/>
          <w:bdr w:val="none" w:color="auto" w:sz="0" w:space="0"/>
          <w:shd w:val="clear" w:fill="FFFFFF"/>
        </w:rPr>
        <w:t>3. </w:t>
      </w:r>
      <w:r>
        <w:rPr>
          <w:rFonts w:hint="eastAsia" w:ascii="Microsoft YaHei UI" w:hAnsi="Microsoft YaHei UI" w:eastAsia="Microsoft YaHei UI" w:cs="Microsoft YaHei UI"/>
          <w:b w:val="0"/>
          <w:bCs w:val="0"/>
          <w:i w:val="0"/>
          <w:iCs w:val="0"/>
          <w:caps w:val="0"/>
          <w:spacing w:val="15"/>
          <w:sz w:val="22"/>
          <w:szCs w:val="22"/>
          <w:bdr w:val="none" w:color="auto" w:sz="0" w:space="0"/>
          <w:shd w:val="clear" w:fill="FFFFFF"/>
        </w:rPr>
        <w:t>行业媒体平台：中国矿业报、国际煤炭网、中国能源新闻网、中国煤炭期刊网、中国地勘行业网、中国工程机械信息网、中国振动机械网、中国煤机网、全球化工设备网、矿山招标采购网、采矿网、矿业网、矿山机械产业网、矿山工具网、智能产业网</w:t>
      </w:r>
    </w:p>
    <w:p w14:paraId="35E51BD2">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72405" cy="2635885"/>
            <wp:effectExtent l="0" t="0" r="4445" b="12065"/>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6"/>
                    <a:stretch>
                      <a:fillRect/>
                    </a:stretch>
                  </pic:blipFill>
                  <pic:spPr>
                    <a:xfrm>
                      <a:off x="0" y="0"/>
                      <a:ext cx="5272405" cy="2635885"/>
                    </a:xfrm>
                    <a:prstGeom prst="rect">
                      <a:avLst/>
                    </a:prstGeom>
                    <a:noFill/>
                    <a:ln w="9525">
                      <a:noFill/>
                    </a:ln>
                  </pic:spPr>
                </pic:pic>
              </a:graphicData>
            </a:graphic>
          </wp:inline>
        </w:drawing>
      </w:r>
    </w:p>
    <w:p w14:paraId="75B5D78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48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val="0"/>
          <w:bCs w:val="0"/>
          <w:i w:val="0"/>
          <w:iCs w:val="0"/>
          <w:caps w:val="0"/>
          <w:color w:val="0052FF"/>
          <w:spacing w:val="7"/>
          <w:sz w:val="19"/>
          <w:szCs w:val="19"/>
          <w:bdr w:val="none" w:color="auto" w:sz="0" w:space="0"/>
          <w:shd w:val="clear" w:fill="FFFFFF"/>
        </w:rPr>
        <w:t>央视网【经济频道】报道</w:t>
      </w:r>
    </w:p>
    <w:p w14:paraId="70C1A531">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6690" cy="2316480"/>
            <wp:effectExtent l="0" t="0" r="10160" b="7620"/>
            <wp:docPr id="1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60"/>
                    <pic:cNvPicPr>
                      <a:picLocks noChangeAspect="1"/>
                    </pic:cNvPicPr>
                  </pic:nvPicPr>
                  <pic:blipFill>
                    <a:blip r:embed="rId7"/>
                    <a:stretch>
                      <a:fillRect/>
                    </a:stretch>
                  </pic:blipFill>
                  <pic:spPr>
                    <a:xfrm>
                      <a:off x="0" y="0"/>
                      <a:ext cx="5266690" cy="2316480"/>
                    </a:xfrm>
                    <a:prstGeom prst="rect">
                      <a:avLst/>
                    </a:prstGeom>
                    <a:noFill/>
                    <a:ln w="9525">
                      <a:noFill/>
                    </a:ln>
                  </pic:spPr>
                </pic:pic>
              </a:graphicData>
            </a:graphic>
          </wp:inline>
        </w:drawing>
      </w:r>
    </w:p>
    <w:p w14:paraId="1DEEF91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8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0052FF"/>
          <w:spacing w:val="8"/>
          <w:sz w:val="19"/>
          <w:szCs w:val="19"/>
          <w:bdr w:val="none" w:color="auto" w:sz="0" w:space="0"/>
          <w:shd w:val="clear" w:fill="FFFFFF"/>
        </w:rPr>
        <w:t>内蒙古新闻网报道</w:t>
      </w:r>
    </w:p>
    <w:p w14:paraId="59DA2AA8">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71770" cy="2614930"/>
            <wp:effectExtent l="0" t="0" r="5080" b="13970"/>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8"/>
                    <a:stretch>
                      <a:fillRect/>
                    </a:stretch>
                  </pic:blipFill>
                  <pic:spPr>
                    <a:xfrm>
                      <a:off x="0" y="0"/>
                      <a:ext cx="5271770" cy="2614930"/>
                    </a:xfrm>
                    <a:prstGeom prst="rect">
                      <a:avLst/>
                    </a:prstGeom>
                    <a:noFill/>
                    <a:ln w="9525">
                      <a:noFill/>
                    </a:ln>
                  </pic:spPr>
                </pic:pic>
              </a:graphicData>
            </a:graphic>
          </wp:inline>
        </w:drawing>
      </w:r>
    </w:p>
    <w:p w14:paraId="66B92AB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0052FF"/>
          <w:spacing w:val="8"/>
          <w:sz w:val="19"/>
          <w:szCs w:val="19"/>
          <w:bdr w:val="none" w:color="auto" w:sz="0" w:space="0"/>
          <w:shd w:val="clear" w:fill="FFFFFF"/>
        </w:rPr>
        <w:t>中国矿业报客户端【矿业界】报道</w:t>
      </w:r>
    </w:p>
    <w:p w14:paraId="2D1D06C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ind w:left="0" w:right="0" w:firstLine="0"/>
        <w:jc w:val="center"/>
        <w:rPr>
          <w:rFonts w:hint="eastAsia" w:ascii="Microsoft YaHei UI" w:hAnsi="Microsoft YaHei UI" w:eastAsia="Microsoft YaHei UI" w:cs="Microsoft YaHei UI"/>
          <w:i w:val="0"/>
          <w:iCs w:val="0"/>
          <w:caps w:val="0"/>
          <w:spacing w:val="8"/>
          <w:sz w:val="25"/>
          <w:szCs w:val="25"/>
        </w:rPr>
      </w:pPr>
    </w:p>
    <w:p w14:paraId="61FB06F7">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6690" cy="585470"/>
            <wp:effectExtent l="0" t="0" r="10160" b="5080"/>
            <wp:docPr id="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IMG_262"/>
                    <pic:cNvPicPr>
                      <a:picLocks noChangeAspect="1"/>
                    </pic:cNvPicPr>
                  </pic:nvPicPr>
                  <pic:blipFill>
                    <a:blip r:embed="rId9"/>
                    <a:stretch>
                      <a:fillRect/>
                    </a:stretch>
                  </pic:blipFill>
                  <pic:spPr>
                    <a:xfrm>
                      <a:off x="0" y="0"/>
                      <a:ext cx="5266690" cy="585470"/>
                    </a:xfrm>
                    <a:prstGeom prst="rect">
                      <a:avLst/>
                    </a:prstGeom>
                    <a:noFill/>
                    <a:ln w="9525">
                      <a:noFill/>
                    </a:ln>
                  </pic:spPr>
                </pic:pic>
              </a:graphicData>
            </a:graphic>
          </wp:inline>
        </w:drawing>
      </w:r>
    </w:p>
    <w:p w14:paraId="74E81C6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480" w:afterAutospacing="0"/>
        <w:ind w:left="0" w:right="0" w:firstLine="42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2"/>
          <w:szCs w:val="22"/>
          <w:bdr w:val="none" w:color="auto" w:sz="0" w:space="0"/>
          <w:shd w:val="clear" w:fill="FFFFFF"/>
        </w:rPr>
        <w:t>为深入贯彻习近平生态文明思想，全面推进我国北方重要生态安全屏障建设，紧紧围绕铸牢中华民族共同体意识工作主线，探索资源型地区转型发展新路径，通过构建政府主导、部门联动、企业主建、社会监督的绿色矿业发展机制，加快推动矿业高质量发展，依据《中共中央关于进一步全面深化改革、推进中国式现代化的决定》、《中共中央办公厅国务院办公厅关于进一步加强矿山安全生产工作的意见》、自然资源部等七部委《关于进一步加强绿色矿山建设的通知》、《内蒙古自治区建设我国北方重要生态安全屏障促进条例》和内蒙古自治区人民政府办公厅关于进一步加强绿色矿山建设的通知等有关文件精神，加强矿山安全和智能化新技术、新工艺、新装备的推广应用，促进矿业新质生产力创新发展，保障国家重要能源和战略资源基地建设，</w:t>
      </w:r>
      <w:r>
        <w:rPr>
          <w:rFonts w:hint="eastAsia" w:ascii="Microsoft YaHei UI" w:hAnsi="Microsoft YaHei UI" w:eastAsia="Microsoft YaHei UI" w:cs="Microsoft YaHei UI"/>
          <w:b/>
          <w:bCs/>
          <w:i w:val="0"/>
          <w:iCs w:val="0"/>
          <w:caps w:val="0"/>
          <w:color w:val="021EAA"/>
          <w:spacing w:val="8"/>
          <w:sz w:val="22"/>
          <w:szCs w:val="22"/>
          <w:bdr w:val="none" w:color="auto" w:sz="0" w:space="0"/>
          <w:shd w:val="clear" w:fill="FFFFFF"/>
        </w:rPr>
        <w:t>2025第二届智慧矿山高质量发展大会暨中国(内蒙古)矿业科技创新博览会</w:t>
      </w:r>
      <w:r>
        <w:rPr>
          <w:rFonts w:hint="eastAsia" w:ascii="Microsoft YaHei UI" w:hAnsi="Microsoft YaHei UI" w:eastAsia="Microsoft YaHei UI" w:cs="Microsoft YaHei UI"/>
          <w:i w:val="0"/>
          <w:iCs w:val="0"/>
          <w:caps w:val="0"/>
          <w:spacing w:val="8"/>
          <w:sz w:val="22"/>
          <w:szCs w:val="22"/>
          <w:bdr w:val="none" w:color="auto" w:sz="0" w:space="0"/>
          <w:shd w:val="clear" w:fill="FFFFFF"/>
        </w:rPr>
        <w:t>(以下简称“大会”)将于</w:t>
      </w:r>
      <w:r>
        <w:rPr>
          <w:rFonts w:hint="eastAsia" w:ascii="Microsoft YaHei UI" w:hAnsi="Microsoft YaHei UI" w:eastAsia="Microsoft YaHei UI" w:cs="Microsoft YaHei UI"/>
          <w:b/>
          <w:bCs/>
          <w:i w:val="0"/>
          <w:iCs w:val="0"/>
          <w:caps w:val="0"/>
          <w:color w:val="021EAA"/>
          <w:spacing w:val="8"/>
          <w:sz w:val="22"/>
          <w:szCs w:val="22"/>
          <w:bdr w:val="none" w:color="auto" w:sz="0" w:space="0"/>
          <w:shd w:val="clear" w:fill="FFFFFF"/>
        </w:rPr>
        <w:t>10月10日至10月12日</w:t>
      </w:r>
      <w:r>
        <w:rPr>
          <w:rFonts w:hint="eastAsia" w:ascii="Microsoft YaHei UI" w:hAnsi="Microsoft YaHei UI" w:eastAsia="Microsoft YaHei UI" w:cs="Microsoft YaHei UI"/>
          <w:i w:val="0"/>
          <w:iCs w:val="0"/>
          <w:caps w:val="0"/>
          <w:spacing w:val="8"/>
          <w:sz w:val="22"/>
          <w:szCs w:val="22"/>
          <w:bdr w:val="none" w:color="auto" w:sz="0" w:space="0"/>
          <w:shd w:val="clear" w:fill="FFFFFF"/>
        </w:rPr>
        <w:t>在</w:t>
      </w:r>
      <w:r>
        <w:rPr>
          <w:rFonts w:hint="eastAsia" w:ascii="Microsoft YaHei UI" w:hAnsi="Microsoft YaHei UI" w:eastAsia="Microsoft YaHei UI" w:cs="Microsoft YaHei UI"/>
          <w:b/>
          <w:bCs/>
          <w:i w:val="0"/>
          <w:iCs w:val="0"/>
          <w:caps w:val="0"/>
          <w:color w:val="021EAA"/>
          <w:spacing w:val="8"/>
          <w:sz w:val="22"/>
          <w:szCs w:val="22"/>
          <w:bdr w:val="none" w:color="auto" w:sz="0" w:space="0"/>
          <w:shd w:val="clear" w:fill="FFFFFF"/>
        </w:rPr>
        <w:t>呼和浩特内蒙古国际会展中心</w:t>
      </w:r>
      <w:r>
        <w:rPr>
          <w:rFonts w:hint="eastAsia" w:ascii="Microsoft YaHei UI" w:hAnsi="Microsoft YaHei UI" w:eastAsia="Microsoft YaHei UI" w:cs="Microsoft YaHei UI"/>
          <w:i w:val="0"/>
          <w:iCs w:val="0"/>
          <w:caps w:val="0"/>
          <w:spacing w:val="8"/>
          <w:sz w:val="22"/>
          <w:szCs w:val="22"/>
          <w:bdr w:val="none" w:color="auto" w:sz="0" w:space="0"/>
          <w:shd w:val="clear" w:fill="FFFFFF"/>
        </w:rPr>
        <w:t>举行。本次大会以“</w:t>
      </w:r>
      <w:r>
        <w:rPr>
          <w:rFonts w:hint="eastAsia" w:ascii="Microsoft YaHei UI" w:hAnsi="Microsoft YaHei UI" w:eastAsia="Microsoft YaHei UI" w:cs="Microsoft YaHei UI"/>
          <w:b/>
          <w:bCs/>
          <w:i w:val="0"/>
          <w:iCs w:val="0"/>
          <w:caps w:val="0"/>
          <w:color w:val="AB1942"/>
          <w:spacing w:val="8"/>
          <w:sz w:val="22"/>
          <w:szCs w:val="22"/>
          <w:bdr w:val="none" w:color="auto" w:sz="0" w:space="0"/>
          <w:shd w:val="clear" w:fill="FFFFFF"/>
        </w:rPr>
        <w:t>聚焦绿色发展，智领矿业未来</w:t>
      </w:r>
      <w:r>
        <w:rPr>
          <w:rFonts w:hint="eastAsia" w:ascii="Microsoft YaHei UI" w:hAnsi="Microsoft YaHei UI" w:eastAsia="Microsoft YaHei UI" w:cs="Microsoft YaHei UI"/>
          <w:i w:val="0"/>
          <w:iCs w:val="0"/>
          <w:caps w:val="0"/>
          <w:spacing w:val="8"/>
          <w:sz w:val="22"/>
          <w:szCs w:val="22"/>
          <w:bdr w:val="none" w:color="auto" w:sz="0" w:space="0"/>
          <w:shd w:val="clear" w:fill="FFFFFF"/>
        </w:rPr>
        <w:t>”为主题，汇聚国内外行业专家、企业代表与科研机构，共商智慧矿山发展大计，助力我国矿业高质量发展。</w:t>
      </w:r>
    </w:p>
    <w:p w14:paraId="00DA450A">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6690" cy="3511550"/>
            <wp:effectExtent l="0" t="0" r="10160" b="12700"/>
            <wp:docPr id="1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63"/>
                    <pic:cNvPicPr>
                      <a:picLocks noChangeAspect="1"/>
                    </pic:cNvPicPr>
                  </pic:nvPicPr>
                  <pic:blipFill>
                    <a:blip r:embed="rId10"/>
                    <a:stretch>
                      <a:fillRect/>
                    </a:stretch>
                  </pic:blipFill>
                  <pic:spPr>
                    <a:xfrm>
                      <a:off x="0" y="0"/>
                      <a:ext cx="5266690" cy="3511550"/>
                    </a:xfrm>
                    <a:prstGeom prst="rect">
                      <a:avLst/>
                    </a:prstGeom>
                    <a:noFill/>
                    <a:ln w="9525">
                      <a:noFill/>
                    </a:ln>
                  </pic:spPr>
                </pic:pic>
              </a:graphicData>
            </a:graphic>
          </wp:inline>
        </w:drawing>
      </w:r>
    </w:p>
    <w:p w14:paraId="5E4E2AF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0052FF"/>
          <w:spacing w:val="8"/>
          <w:sz w:val="19"/>
          <w:szCs w:val="19"/>
          <w:bdr w:val="none" w:color="auto" w:sz="0" w:space="0"/>
          <w:shd w:val="clear" w:fill="FFFFFF"/>
        </w:rPr>
        <w:t>2024年大会举办现场</w:t>
      </w:r>
    </w:p>
    <w:p w14:paraId="7EE2C92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15" w:lineRule="atLeast"/>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0052FF"/>
          <w:spacing w:val="8"/>
          <w:sz w:val="19"/>
          <w:szCs w:val="19"/>
          <w:bdr w:val="none" w:color="auto" w:sz="0" w:space="0"/>
          <w:shd w:val="clear" w:fill="FFFFFF"/>
        </w:rPr>
        <w:t>内蒙古智慧矿山研究会会长  辛卫东致辞</w:t>
      </w:r>
    </w:p>
    <w:p w14:paraId="7D0342B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15" w:lineRule="atLeast"/>
        <w:ind w:left="0" w:right="0" w:firstLine="0"/>
        <w:jc w:val="center"/>
        <w:rPr>
          <w:rFonts w:hint="eastAsia" w:ascii="Microsoft YaHei UI" w:hAnsi="Microsoft YaHei UI" w:eastAsia="Microsoft YaHei UI" w:cs="Microsoft YaHei UI"/>
          <w:i w:val="0"/>
          <w:iCs w:val="0"/>
          <w:caps w:val="0"/>
          <w:spacing w:val="8"/>
          <w:sz w:val="25"/>
          <w:szCs w:val="25"/>
        </w:rPr>
      </w:pPr>
    </w:p>
    <w:p w14:paraId="589B60E5">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6690" cy="585470"/>
            <wp:effectExtent l="0" t="0" r="10160" b="5080"/>
            <wp:docPr id="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IMG_264"/>
                    <pic:cNvPicPr>
                      <a:picLocks noChangeAspect="1"/>
                    </pic:cNvPicPr>
                  </pic:nvPicPr>
                  <pic:blipFill>
                    <a:blip r:embed="rId11"/>
                    <a:stretch>
                      <a:fillRect/>
                    </a:stretch>
                  </pic:blipFill>
                  <pic:spPr>
                    <a:xfrm>
                      <a:off x="0" y="0"/>
                      <a:ext cx="5266690" cy="585470"/>
                    </a:xfrm>
                    <a:prstGeom prst="rect">
                      <a:avLst/>
                    </a:prstGeom>
                    <a:noFill/>
                    <a:ln w="9525">
                      <a:noFill/>
                    </a:ln>
                  </pic:spPr>
                </pic:pic>
              </a:graphicData>
            </a:graphic>
          </wp:inline>
        </w:drawing>
      </w:r>
    </w:p>
    <w:p w14:paraId="2EA3573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42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2"/>
          <w:szCs w:val="22"/>
          <w:bdr w:val="none" w:color="auto" w:sz="0" w:space="0"/>
          <w:shd w:val="clear" w:fill="FFFFFF"/>
        </w:rPr>
        <w:t>12月19日至20日，第十三届绿色开采理论与实践国际研讨会暨 2024 智慧矿山高质量发展大会 在内蒙古呼和浩特召开。此次会议由中国矿业大学与内蒙古自治区智慧矿山研究会联合主办，北京东方国信科技股份有限公司协办。来自国内外矿山院校的专家学者，与各地的产、学、研、用相关领域的嘉宾，围绕“绿色发展 智慧增安”主题，进行深入交流。</w:t>
      </w:r>
    </w:p>
    <w:p w14:paraId="50AEEB91">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6690" cy="3511550"/>
            <wp:effectExtent l="0" t="0" r="10160" b="12700"/>
            <wp:docPr id="1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65"/>
                    <pic:cNvPicPr>
                      <a:picLocks noChangeAspect="1"/>
                    </pic:cNvPicPr>
                  </pic:nvPicPr>
                  <pic:blipFill>
                    <a:blip r:embed="rId12"/>
                    <a:stretch>
                      <a:fillRect/>
                    </a:stretch>
                  </pic:blipFill>
                  <pic:spPr>
                    <a:xfrm>
                      <a:off x="0" y="0"/>
                      <a:ext cx="5266690" cy="3511550"/>
                    </a:xfrm>
                    <a:prstGeom prst="rect">
                      <a:avLst/>
                    </a:prstGeom>
                    <a:noFill/>
                    <a:ln w="9525">
                      <a:noFill/>
                    </a:ln>
                  </pic:spPr>
                </pic:pic>
              </a:graphicData>
            </a:graphic>
          </wp:inline>
        </w:drawing>
      </w:r>
    </w:p>
    <w:p w14:paraId="5CBB4B4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42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2"/>
          <w:szCs w:val="22"/>
          <w:bdr w:val="none" w:color="auto" w:sz="0" w:space="0"/>
          <w:shd w:val="clear" w:fill="FFFFFF"/>
        </w:rPr>
        <w:t>此次会议由中国矿业大学与内蒙古自治区智慧矿山研究会联合主办，北京东方国信科技股份有限公司协办。来自国内外矿山院校的专家学者，与各地的产、学、研、用相关领域的嘉宾，围绕“绿色发展 智慧增安”主题，进行深入交流。</w:t>
      </w:r>
    </w:p>
    <w:p w14:paraId="0AA14E90">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6690" cy="3511550"/>
            <wp:effectExtent l="0" t="0" r="10160" b="12700"/>
            <wp:docPr id="1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MG_266"/>
                    <pic:cNvPicPr>
                      <a:picLocks noChangeAspect="1"/>
                    </pic:cNvPicPr>
                  </pic:nvPicPr>
                  <pic:blipFill>
                    <a:blip r:embed="rId13"/>
                    <a:stretch>
                      <a:fillRect/>
                    </a:stretch>
                  </pic:blipFill>
                  <pic:spPr>
                    <a:xfrm>
                      <a:off x="0" y="0"/>
                      <a:ext cx="5266690" cy="3511550"/>
                    </a:xfrm>
                    <a:prstGeom prst="rect">
                      <a:avLst/>
                    </a:prstGeom>
                    <a:noFill/>
                    <a:ln w="9525">
                      <a:noFill/>
                    </a:ln>
                  </pic:spPr>
                </pic:pic>
              </a:graphicData>
            </a:graphic>
          </wp:inline>
        </w:drawing>
      </w:r>
    </w:p>
    <w:p w14:paraId="6113626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42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2"/>
          <w:szCs w:val="22"/>
          <w:bdr w:val="none" w:color="auto" w:sz="0" w:space="0"/>
          <w:shd w:val="clear" w:fill="FFFFFF"/>
        </w:rPr>
        <w:t>本次活动吸引了众多企业参会，其中包括以准能黑带沟露天煤矿、大唐龙王沟煤矿、国能北电胜利西一号露天煤矿、华电蒙泰不连沟煤矿、包钢白云鄂博铁矿、兴业银锡集团、银漫矿业、中国黄金金曦矿业为代表的100余家矿山企业，以东方国信、华为、浪潮、北京博创凯盛为代表的50余家矿山服务企业。同时，本次活动还邀请了中国民主同盟内蒙古自治区委员会、应急管理大学（筹）、中国安全生产科学研究院、中国产业发展促进会、中国矿山安全学会、中国煤炭加工利用协会、中国国际科技促进会先进制造与国际交流工作委员会等民族党派、科研院校和社会团体组织作为大会支持单位，与本次受邀嘉宾一道，探讨和解决煤炭行业智能化建设和绿色开采过程中遇到的技术难题和挑战，描绘矿山产业的美好未来。</w:t>
      </w:r>
    </w:p>
    <w:p w14:paraId="45866A6D">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6690" cy="3131185"/>
            <wp:effectExtent l="0" t="0" r="10160" b="12065"/>
            <wp:docPr id="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IMG_267"/>
                    <pic:cNvPicPr>
                      <a:picLocks noChangeAspect="1"/>
                    </pic:cNvPicPr>
                  </pic:nvPicPr>
                  <pic:blipFill>
                    <a:blip r:embed="rId14"/>
                    <a:stretch>
                      <a:fillRect/>
                    </a:stretch>
                  </pic:blipFill>
                  <pic:spPr>
                    <a:xfrm>
                      <a:off x="0" y="0"/>
                      <a:ext cx="5266690" cy="3131185"/>
                    </a:xfrm>
                    <a:prstGeom prst="rect">
                      <a:avLst/>
                    </a:prstGeom>
                    <a:noFill/>
                    <a:ln w="9525">
                      <a:noFill/>
                    </a:ln>
                  </pic:spPr>
                </pic:pic>
              </a:graphicData>
            </a:graphic>
          </wp:inline>
        </w:drawing>
      </w:r>
    </w:p>
    <w:p w14:paraId="24BB3EA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42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2"/>
          <w:szCs w:val="22"/>
          <w:bdr w:val="none" w:color="auto" w:sz="0" w:space="0"/>
          <w:shd w:val="clear" w:fill="FFFFFF"/>
        </w:rPr>
        <w:t>本次会议内容广泛，不仅涵盖绿色智慧矿山政策解读、矿山智能化发展现状及展望主题演讲、矿山绿色开采技术研讨、矿山安全智能化建设项目典型案例分享等内容，还为参会者带来了智慧矿山新技术新装备推广、矿山空天地监管安全新技术推广、煤炭智能洗选、矿山智慧化穿爆体系建设、安全低碳智能化矿山建设模式、智慧矿山产业创新集群等方面的前沿技术装备汇报。会议期间，还进行了“内蒙古自治区智慧矿山研究会”揭牌仪式，以及“智慧矿山产业创新集群内蒙古基地”挂牌仪式，同时还发布了《内蒙古矿山行业文件汇编2024》《内蒙古矿山行业数据手册2023》。</w:t>
      </w:r>
    </w:p>
    <w:p w14:paraId="3C9C459D">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6690" cy="2960370"/>
            <wp:effectExtent l="0" t="0" r="10160" b="11430"/>
            <wp:docPr id="15"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IMG_268"/>
                    <pic:cNvPicPr>
                      <a:picLocks noChangeAspect="1"/>
                    </pic:cNvPicPr>
                  </pic:nvPicPr>
                  <pic:blipFill>
                    <a:blip r:embed="rId15"/>
                    <a:stretch>
                      <a:fillRect/>
                    </a:stretch>
                  </pic:blipFill>
                  <pic:spPr>
                    <a:xfrm>
                      <a:off x="0" y="0"/>
                      <a:ext cx="5266690" cy="2960370"/>
                    </a:xfrm>
                    <a:prstGeom prst="rect">
                      <a:avLst/>
                    </a:prstGeom>
                    <a:noFill/>
                    <a:ln w="9525">
                      <a:noFill/>
                    </a:ln>
                  </pic:spPr>
                </pic:pic>
              </a:graphicData>
            </a:graphic>
          </wp:inline>
        </w:drawing>
      </w:r>
    </w:p>
    <w:p w14:paraId="795F329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20"/>
        <w:jc w:val="both"/>
        <w:rPr>
          <w:rFonts w:hint="eastAsia" w:ascii="Microsoft YaHei UI" w:hAnsi="Microsoft YaHei UI" w:eastAsia="Microsoft YaHei UI" w:cs="Microsoft YaHei UI"/>
          <w:i w:val="0"/>
          <w:iCs w:val="0"/>
          <w:caps w:val="0"/>
          <w:spacing w:val="8"/>
          <w:sz w:val="25"/>
          <w:szCs w:val="25"/>
        </w:rPr>
      </w:pPr>
      <w:r>
        <w:rPr>
          <w:rFonts w:ascii="微软雅黑" w:hAnsi="微软雅黑" w:eastAsia="微软雅黑" w:cs="微软雅黑"/>
          <w:i w:val="0"/>
          <w:iCs w:val="0"/>
          <w:caps w:val="0"/>
          <w:color w:val="222222"/>
          <w:spacing w:val="0"/>
          <w:sz w:val="22"/>
          <w:szCs w:val="22"/>
          <w:bdr w:val="none" w:color="auto" w:sz="0" w:space="0"/>
          <w:shd w:val="clear" w:fill="FFFFFF"/>
        </w:rPr>
        <w:t>此外，本次会议还特设“智慧矿山建设评优及优秀论文”颁奖仪式。从矿山整体智能化、智能化建设、智能化管理、智能化创新各方面，向对内蒙古自治区矿山智能化发展作出贡献的企业、个人进行评优评奖，鼓励大家在矿山智能化发展中再创辉煌。</w:t>
      </w:r>
      <w:r>
        <w:rPr>
          <w:rFonts w:hint="eastAsia" w:ascii="微软雅黑" w:hAnsi="微软雅黑" w:eastAsia="微软雅黑" w:cs="微软雅黑"/>
          <w:i w:val="0"/>
          <w:iCs w:val="0"/>
          <w:caps w:val="0"/>
          <w:color w:val="222222"/>
          <w:spacing w:val="0"/>
          <w:sz w:val="22"/>
          <w:szCs w:val="22"/>
          <w:bdr w:val="none" w:color="auto" w:sz="0" w:space="0"/>
          <w:shd w:val="clear" w:fill="FFFFFF"/>
        </w:rPr>
        <w:t>此外，本次会议还特设“智慧矿山建设评优及优秀论文”颁奖仪式。从矿山整体智能化、智能化建设、智能化管理、智能化创新各方面，向对内蒙古自治区矿山智能化发展作出贡献的企业、个人进行评优评奖，鼓励大家在矿山智能化发展中再创辉煌。</w:t>
      </w:r>
    </w:p>
    <w:p w14:paraId="3ADCA16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jc w:val="both"/>
        <w:rPr>
          <w:rFonts w:hint="eastAsia" w:ascii="Microsoft YaHei UI" w:hAnsi="Microsoft YaHei UI" w:eastAsia="Microsoft YaHei UI" w:cs="Microsoft YaHei UI"/>
          <w:i w:val="0"/>
          <w:iCs w:val="0"/>
          <w:caps w:val="0"/>
          <w:spacing w:val="8"/>
          <w:sz w:val="25"/>
          <w:szCs w:val="25"/>
        </w:rPr>
      </w:pPr>
    </w:p>
    <w:p w14:paraId="3858A7AD">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6690" cy="585470"/>
            <wp:effectExtent l="0" t="0" r="10160" b="5080"/>
            <wp:docPr id="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IMG_269"/>
                    <pic:cNvPicPr>
                      <a:picLocks noChangeAspect="1"/>
                    </pic:cNvPicPr>
                  </pic:nvPicPr>
                  <pic:blipFill>
                    <a:blip r:embed="rId16"/>
                    <a:stretch>
                      <a:fillRect/>
                    </a:stretch>
                  </pic:blipFill>
                  <pic:spPr>
                    <a:xfrm>
                      <a:off x="0" y="0"/>
                      <a:ext cx="5266690" cy="585470"/>
                    </a:xfrm>
                    <a:prstGeom prst="rect">
                      <a:avLst/>
                    </a:prstGeom>
                    <a:noFill/>
                    <a:ln w="9525">
                      <a:noFill/>
                    </a:ln>
                  </pic:spPr>
                </pic:pic>
              </a:graphicData>
            </a:graphic>
          </wp:inline>
        </w:drawing>
      </w:r>
    </w:p>
    <w:p w14:paraId="6CC4620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spacing w:val="7"/>
          <w:sz w:val="22"/>
          <w:szCs w:val="22"/>
          <w:bdr w:val="none" w:color="auto" w:sz="0" w:space="0"/>
          <w:shd w:val="clear" w:fill="FFFFFF"/>
        </w:rPr>
        <w:t>1.</w:t>
      </w: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 2025第二届智慧矿山高质量发展大会暨中国(内蒙古)矿业科技创新博览会开幕式</w:t>
      </w:r>
    </w:p>
    <w:p w14:paraId="0C0718F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spacing w:val="7"/>
          <w:sz w:val="22"/>
          <w:szCs w:val="22"/>
          <w:bdr w:val="none" w:color="auto" w:sz="0" w:space="0"/>
          <w:shd w:val="clear" w:fill="FFFFFF"/>
        </w:rPr>
        <w:t>2. </w:t>
      </w: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内蒙古北京商会十周年京蒙协作纪念峰会</w:t>
      </w:r>
    </w:p>
    <w:p w14:paraId="1C57A7C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spacing w:val="7"/>
          <w:sz w:val="22"/>
          <w:szCs w:val="22"/>
          <w:bdr w:val="none" w:color="auto" w:sz="0" w:space="0"/>
          <w:shd w:val="clear" w:fill="FFFFFF"/>
        </w:rPr>
        <w:t>3. </w:t>
      </w: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“矿山企业资产处置交易委员会”成立仪式</w:t>
      </w:r>
    </w:p>
    <w:p w14:paraId="3205909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spacing w:val="7"/>
          <w:sz w:val="22"/>
          <w:szCs w:val="22"/>
          <w:bdr w:val="none" w:color="auto" w:sz="0" w:space="0"/>
          <w:shd w:val="clear" w:fill="FFFFFF"/>
        </w:rPr>
        <w:t>4.</w:t>
      </w: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 矿山企业职工健康保障工程--协和健康大讲堂</w:t>
      </w:r>
    </w:p>
    <w:p w14:paraId="49CB561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spacing w:val="7"/>
          <w:sz w:val="22"/>
          <w:szCs w:val="22"/>
          <w:bdr w:val="none" w:color="auto" w:sz="0" w:space="0"/>
          <w:shd w:val="clear" w:fill="FFFFFF"/>
        </w:rPr>
        <w:t>5.</w:t>
      </w: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 内蒙古自治区智慧矿山研究会2025年工作会</w:t>
      </w:r>
    </w:p>
    <w:p w14:paraId="305F433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spacing w:val="7"/>
          <w:sz w:val="22"/>
          <w:szCs w:val="22"/>
          <w:bdr w:val="none" w:color="auto" w:sz="0" w:space="0"/>
          <w:shd w:val="clear" w:fill="FFFFFF"/>
        </w:rPr>
        <w:t>6.</w:t>
      </w: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 “2025年度绿色矿山突出贡献奖”及“第二届内蒙古双十佳智慧矿山奖”颁奖仪式</w:t>
      </w:r>
    </w:p>
    <w:p w14:paraId="1B1F170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spacing w:val="7"/>
          <w:sz w:val="22"/>
          <w:szCs w:val="22"/>
          <w:bdr w:val="none" w:color="auto" w:sz="0" w:space="0"/>
          <w:shd w:val="clear" w:fill="FFFFFF"/>
        </w:rPr>
        <w:t>7. </w:t>
      </w: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央媒纪录片《赋能》启动仪式</w:t>
      </w:r>
    </w:p>
    <w:p w14:paraId="5F53C18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spacing w:val="7"/>
          <w:sz w:val="22"/>
          <w:szCs w:val="22"/>
          <w:bdr w:val="none" w:color="auto" w:sz="0" w:space="0"/>
          <w:shd w:val="clear" w:fill="FFFFFF"/>
        </w:rPr>
        <w:t>8.</w:t>
      </w: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 优秀企业品牌推介会</w:t>
      </w:r>
    </w:p>
    <w:p w14:paraId="2AC8FAE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spacing w:val="7"/>
          <w:sz w:val="22"/>
          <w:szCs w:val="22"/>
          <w:bdr w:val="none" w:color="auto" w:sz="0" w:space="0"/>
          <w:shd w:val="clear" w:fill="FFFFFF"/>
        </w:rPr>
        <w:t>9.</w:t>
      </w: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 新技术、新装备、新产品展览会</w:t>
      </w:r>
    </w:p>
    <w:p w14:paraId="5E37E55A">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6690" cy="2150745"/>
            <wp:effectExtent l="0" t="0" r="10160" b="1905"/>
            <wp:docPr id="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IMG_270"/>
                    <pic:cNvPicPr>
                      <a:picLocks noChangeAspect="1"/>
                    </pic:cNvPicPr>
                  </pic:nvPicPr>
                  <pic:blipFill>
                    <a:blip r:embed="rId17"/>
                    <a:stretch>
                      <a:fillRect/>
                    </a:stretch>
                  </pic:blipFill>
                  <pic:spPr>
                    <a:xfrm>
                      <a:off x="0" y="0"/>
                      <a:ext cx="5266690" cy="215074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drawing>
          <wp:inline distT="0" distB="0" distL="114300" distR="114300">
            <wp:extent cx="5266690" cy="585470"/>
            <wp:effectExtent l="0" t="0" r="10160" b="5080"/>
            <wp:docPr id="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IMG_271"/>
                    <pic:cNvPicPr>
                      <a:picLocks noChangeAspect="1"/>
                    </pic:cNvPicPr>
                  </pic:nvPicPr>
                  <pic:blipFill>
                    <a:blip r:embed="rId18"/>
                    <a:stretch>
                      <a:fillRect/>
                    </a:stretch>
                  </pic:blipFill>
                  <pic:spPr>
                    <a:xfrm>
                      <a:off x="0" y="0"/>
                      <a:ext cx="5266690" cy="585470"/>
                    </a:xfrm>
                    <a:prstGeom prst="rect">
                      <a:avLst/>
                    </a:prstGeom>
                    <a:noFill/>
                    <a:ln w="9525">
                      <a:noFill/>
                    </a:ln>
                  </pic:spPr>
                </pic:pic>
              </a:graphicData>
            </a:graphic>
          </wp:inline>
        </w:drawing>
      </w:r>
    </w:p>
    <w:p w14:paraId="1D901AE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本届大会计划展示面积约 10000 平米，分为煤矿和非煤矿山技术与设备展区，共包含 300 个 9 ㎡标准展位、65 个 18 ㎡标准展位、30 个 36 ㎡特装展位、15 个 54 ㎡特装展位、10 个 72 ㎡特装展位、6 个 90 ㎡特装展位、3 个 108 ㎡特装展位。其中参展范围包括：</w:t>
      </w:r>
    </w:p>
    <w:p w14:paraId="06BB142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021EAA"/>
          <w:spacing w:val="7"/>
          <w:sz w:val="22"/>
          <w:szCs w:val="22"/>
          <w:bdr w:val="none" w:color="auto" w:sz="0" w:space="0"/>
          <w:shd w:val="clear" w:fill="FFFFFF"/>
        </w:rPr>
        <w:t> 安全、监控及应急、救援设备</w:t>
      </w:r>
    </w:p>
    <w:p w14:paraId="49D128C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000000"/>
          <w:spacing w:val="7"/>
          <w:sz w:val="22"/>
          <w:szCs w:val="22"/>
          <w:bdr w:val="none" w:color="auto" w:sz="0" w:space="0"/>
          <w:shd w:val="clear" w:fill="FFFFFF"/>
        </w:rPr>
        <w:t>1.</w:t>
      </w:r>
      <w:r>
        <w:rPr>
          <w:rFonts w:hint="eastAsia" w:ascii="Microsoft YaHei UI" w:hAnsi="Microsoft YaHei UI" w:eastAsia="Microsoft YaHei UI" w:cs="Microsoft YaHei UI"/>
          <w:b/>
          <w:bCs/>
          <w:i w:val="0"/>
          <w:iCs w:val="0"/>
          <w:caps w:val="0"/>
          <w:color w:val="021EAA"/>
          <w:spacing w:val="7"/>
          <w:sz w:val="22"/>
          <w:szCs w:val="22"/>
          <w:bdr w:val="none" w:color="auto" w:sz="0" w:space="0"/>
          <w:shd w:val="clear" w:fill="FFFFFF"/>
        </w:rPr>
        <w:t> </w:t>
      </w: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安全生产控制系统、安全监控系统、矿用大屏幕、井下通信设备、无线通讯设备；</w:t>
      </w:r>
    </w:p>
    <w:p w14:paraId="0BE6BA1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000000"/>
          <w:spacing w:val="7"/>
          <w:sz w:val="22"/>
          <w:szCs w:val="22"/>
          <w:bdr w:val="none" w:color="auto" w:sz="0" w:space="0"/>
          <w:shd w:val="clear" w:fill="FFFFFF"/>
        </w:rPr>
        <w:t>2. </w:t>
      </w: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矿山逃生与自救设备、救生舱、避难硐室、个体防护、运输器材、培训器材等。</w:t>
      </w:r>
    </w:p>
    <w:p w14:paraId="13855D4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021EAA"/>
          <w:spacing w:val="7"/>
          <w:sz w:val="22"/>
          <w:szCs w:val="22"/>
          <w:bdr w:val="none" w:color="auto" w:sz="0" w:space="0"/>
          <w:shd w:val="clear" w:fill="FFFFFF"/>
        </w:rPr>
        <w:t>智能化无人开采</w:t>
      </w:r>
    </w:p>
    <w:p w14:paraId="47B24A2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智慧矿山、物联网、云计算、大数据、人工智能、自动控制、5G 移动互联网技术、机器人、智能化装备等与现代矿山开发技术设备。</w:t>
      </w:r>
    </w:p>
    <w:p w14:paraId="1E60320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矿山生产、运输与煤加工利用设备</w:t>
      </w:r>
    </w:p>
    <w:p w14:paraId="287F5E9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000000"/>
          <w:spacing w:val="7"/>
          <w:sz w:val="22"/>
          <w:szCs w:val="22"/>
          <w:bdr w:val="none" w:color="auto" w:sz="0" w:space="0"/>
          <w:shd w:val="clear" w:fill="FFFFFF"/>
        </w:rPr>
        <w:t>1. </w:t>
      </w: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采煤机、液压支架、刮板输送机、转载机、破碎机、皮带机、大深高薄综合开采装备与技术、综合开采工作面智能化装备、刨煤机、螺旋钻采煤机、薄煤层智能自动化综合开采装备技术等；</w:t>
      </w:r>
    </w:p>
    <w:p w14:paraId="1FDFC1E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000000"/>
          <w:spacing w:val="7"/>
          <w:sz w:val="22"/>
          <w:szCs w:val="22"/>
          <w:bdr w:val="none" w:color="auto" w:sz="0" w:space="0"/>
          <w:shd w:val="clear" w:fill="FFFFFF"/>
        </w:rPr>
        <w:t>2. </w:t>
      </w: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井下运输设备、运输设备备件、物料存储、扒矿机、铲装机、装岩机、装载机、铲运车煤炭运输、支架搬运车、梭车、防爆电驱车、无轨胶轮车；</w:t>
      </w:r>
    </w:p>
    <w:p w14:paraId="109BE69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000000"/>
          <w:spacing w:val="7"/>
          <w:sz w:val="22"/>
          <w:szCs w:val="22"/>
          <w:bdr w:val="none" w:color="auto" w:sz="0" w:space="0"/>
          <w:shd w:val="clear" w:fill="FFFFFF"/>
        </w:rPr>
        <w:t>3.</w:t>
      </w:r>
      <w:r>
        <w:rPr>
          <w:rFonts w:hint="eastAsia" w:ascii="Microsoft YaHei UI" w:hAnsi="Microsoft YaHei UI" w:eastAsia="Microsoft YaHei UI" w:cs="Microsoft YaHei UI"/>
          <w:b w:val="0"/>
          <w:bCs w:val="0"/>
          <w:i w:val="0"/>
          <w:iCs w:val="0"/>
          <w:caps w:val="0"/>
          <w:color w:val="000000"/>
          <w:spacing w:val="7"/>
          <w:sz w:val="22"/>
          <w:szCs w:val="22"/>
          <w:bdr w:val="none" w:color="auto" w:sz="0" w:space="0"/>
          <w:shd w:val="clear" w:fill="FFFFFF"/>
        </w:rPr>
        <w:t> </w:t>
      </w: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煤炭洗选、加工利用、煤化工、煤制油、洁净煤技术、跳汰机、浮选机、香蕉筛、压滤机、离心机等。</w:t>
      </w:r>
    </w:p>
    <w:p w14:paraId="60F0EE2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021EAA"/>
          <w:spacing w:val="7"/>
          <w:sz w:val="22"/>
          <w:szCs w:val="22"/>
          <w:bdr w:val="none" w:color="auto" w:sz="0" w:space="0"/>
          <w:shd w:val="clear" w:fill="FFFFFF"/>
        </w:rPr>
        <w:t>智慧矿山、绿色矿山</w:t>
      </w:r>
    </w:p>
    <w:p w14:paraId="2CFCE25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绿色矿山建设、矿山生态恢复、地质灾害防护与治理；智慧矿山、数字矿山技术、装备与服务。</w:t>
      </w:r>
    </w:p>
    <w:p w14:paraId="5D0AFD0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021EAA"/>
          <w:spacing w:val="7"/>
          <w:sz w:val="22"/>
          <w:szCs w:val="22"/>
          <w:bdr w:val="none" w:color="auto" w:sz="0" w:space="0"/>
          <w:shd w:val="clear" w:fill="FFFFFF"/>
        </w:rPr>
        <w:t>地质勘探及矿物分析检测</w:t>
      </w:r>
    </w:p>
    <w:p w14:paraId="506C2B0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物探、化探仪器、采掘设备、钻探凿岩设备、航测遥感设备。</w:t>
      </w:r>
    </w:p>
    <w:p w14:paraId="2DC5C37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021EAA"/>
          <w:spacing w:val="7"/>
          <w:sz w:val="22"/>
          <w:szCs w:val="22"/>
          <w:bdr w:val="none" w:color="auto" w:sz="0" w:space="0"/>
          <w:shd w:val="clear" w:fill="FFFFFF"/>
        </w:rPr>
        <w:t>砂石及尾矿处理</w:t>
      </w:r>
    </w:p>
    <w:p w14:paraId="399782C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尾矿回收利用及处理技术与设备展示；矿山废弃物废水处理技术与设备自动化和信息服务。</w:t>
      </w:r>
    </w:p>
    <w:p w14:paraId="325EC4B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021EAA"/>
          <w:spacing w:val="7"/>
          <w:sz w:val="22"/>
          <w:szCs w:val="22"/>
          <w:bdr w:val="none" w:color="auto" w:sz="0" w:space="0"/>
          <w:shd w:val="clear" w:fill="FFFFFF"/>
        </w:rPr>
        <w:t>资源介绍与招商推介</w:t>
      </w:r>
    </w:p>
    <w:p w14:paraId="0727A41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内蒙古资源城市形象展示与资源介绍；政府招商引资项目推介及成果展示；矿业企业、能源企业介绍及形象展示，最新产品及技术成果展示。</w:t>
      </w:r>
    </w:p>
    <w:p w14:paraId="1C2B17C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021EAA"/>
          <w:spacing w:val="7"/>
          <w:sz w:val="22"/>
          <w:szCs w:val="22"/>
          <w:bdr w:val="none" w:color="auto" w:sz="0" w:space="0"/>
          <w:shd w:val="clear" w:fill="FFFFFF"/>
        </w:rPr>
        <w:t>矿产交易与投融资</w:t>
      </w:r>
    </w:p>
    <w:p w14:paraId="0E261A7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24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矿产交易、评估、投融资、法律及金融服务。</w:t>
      </w:r>
    </w:p>
    <w:p w14:paraId="1482ACB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p>
    <w:p w14:paraId="7307A640">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6690" cy="585470"/>
            <wp:effectExtent l="0" t="0" r="10160" b="5080"/>
            <wp:docPr id="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IMG_272"/>
                    <pic:cNvPicPr>
                      <a:picLocks noChangeAspect="1"/>
                    </pic:cNvPicPr>
                  </pic:nvPicPr>
                  <pic:blipFill>
                    <a:blip r:embed="rId19"/>
                    <a:stretch>
                      <a:fillRect/>
                    </a:stretch>
                  </pic:blipFill>
                  <pic:spPr>
                    <a:xfrm>
                      <a:off x="0" y="0"/>
                      <a:ext cx="5266690" cy="585470"/>
                    </a:xfrm>
                    <a:prstGeom prst="rect">
                      <a:avLst/>
                    </a:prstGeom>
                    <a:noFill/>
                    <a:ln w="9525">
                      <a:noFill/>
                    </a:ln>
                  </pic:spPr>
                </pic:pic>
              </a:graphicData>
            </a:graphic>
          </wp:inline>
        </w:drawing>
      </w:r>
    </w:p>
    <w:p w14:paraId="7429119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021EAA"/>
          <w:spacing w:val="7"/>
          <w:sz w:val="22"/>
          <w:szCs w:val="22"/>
          <w:bdr w:val="none" w:color="auto" w:sz="0" w:space="0"/>
          <w:shd w:val="clear" w:fill="FFFFFF"/>
        </w:rPr>
        <w:t>主办单位副理事长单位、常务理事单位、理事和会员单位的设备厂家将享受参展收费标准的10%—20%优惠。</w:t>
      </w:r>
    </w:p>
    <w:p w14:paraId="44FD90F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spacing w:val="7"/>
          <w:sz w:val="22"/>
          <w:szCs w:val="22"/>
          <w:bdr w:val="none" w:color="auto" w:sz="0" w:space="0"/>
          <w:shd w:val="clear" w:fill="FFFFFF"/>
        </w:rPr>
        <w:t>1. </w:t>
      </w: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室内国际标准展位（3m×3m）：单开口12000元/个，双开口13000元/个（国外企业等同），包括一张桌子、两把椅子、一个电源插座。（特殊用电请事先说明)</w:t>
      </w:r>
    </w:p>
    <w:p w14:paraId="6D1ECCD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spacing w:val="7"/>
          <w:sz w:val="22"/>
          <w:szCs w:val="22"/>
          <w:bdr w:val="none" w:color="auto" w:sz="0" w:space="0"/>
          <w:shd w:val="clear" w:fill="FFFFFF"/>
        </w:rPr>
        <w:t>2.</w:t>
      </w: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 室内空地：1300元/平方米（36平方米起租），不含展架、展具等</w:t>
      </w:r>
    </w:p>
    <w:p w14:paraId="3D7B265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spacing w:val="7"/>
          <w:sz w:val="22"/>
          <w:szCs w:val="22"/>
          <w:bdr w:val="none" w:color="auto" w:sz="0" w:space="0"/>
          <w:shd w:val="clear" w:fill="FFFFFF"/>
        </w:rPr>
        <w:t>3. </w:t>
      </w: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室外空地：900元/平方米（90平方米起租）</w:t>
      </w:r>
    </w:p>
    <w:p w14:paraId="1255680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spacing w:val="7"/>
          <w:sz w:val="22"/>
          <w:szCs w:val="22"/>
          <w:bdr w:val="none" w:color="auto" w:sz="0" w:space="0"/>
          <w:shd w:val="clear" w:fill="FFFFFF"/>
        </w:rPr>
        <w:t>4.</w:t>
      </w: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 推介会：可容纳50一300人的会场，可穿插在会期活动中，每场30000元（20分钟）</w:t>
      </w:r>
    </w:p>
    <w:p w14:paraId="02CD8BA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spacing w:val="7"/>
          <w:sz w:val="22"/>
          <w:szCs w:val="22"/>
          <w:bdr w:val="none" w:color="auto" w:sz="0" w:space="0"/>
          <w:shd w:val="clear" w:fill="FFFFFF"/>
        </w:rPr>
        <w:t>5.</w:t>
      </w: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 会刊：封面-15000元；封二-10000元；彩色内页-5000元；彩色内页跨版-10000元；封底-13000元；黑白内页-3000元；文字简介-500元；会刊规格：285mm×210mm，会刊除在大会期间广为发送外，还通过各渠道发送未能前来参观的各地行业人士手中，帮助您在会后找到客户。</w:t>
      </w:r>
    </w:p>
    <w:p w14:paraId="537C5F7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spacing w:val="7"/>
          <w:sz w:val="22"/>
          <w:szCs w:val="22"/>
          <w:bdr w:val="none" w:color="auto" w:sz="0" w:space="0"/>
          <w:shd w:val="clear" w:fill="FFFFFF"/>
        </w:rPr>
        <w:t>6. </w:t>
      </w:r>
      <w:r>
        <w:rPr>
          <w:rFonts w:hint="eastAsia" w:ascii="Microsoft YaHei UI" w:hAnsi="Microsoft YaHei UI" w:eastAsia="Microsoft YaHei UI" w:cs="Microsoft YaHei UI"/>
          <w:b w:val="0"/>
          <w:bCs w:val="0"/>
          <w:i w:val="0"/>
          <w:iCs w:val="0"/>
          <w:caps w:val="0"/>
          <w:spacing w:val="7"/>
          <w:sz w:val="22"/>
          <w:szCs w:val="22"/>
          <w:bdr w:val="none" w:color="auto" w:sz="0" w:space="0"/>
          <w:shd w:val="clear" w:fill="FFFFFF"/>
        </w:rPr>
        <w:t>参观证、会议资料、室内外广告位等其它广告和冠名、赞助方案，请咨询组委会。</w:t>
      </w:r>
    </w:p>
    <w:p w14:paraId="6FE3203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FFFFFF"/>
          <w:spacing w:val="8"/>
          <w:sz w:val="22"/>
          <w:szCs w:val="22"/>
          <w:bdr w:val="none" w:color="auto" w:sz="0" w:space="0"/>
          <w:shd w:val="clear" w:fill="021EAA"/>
        </w:rPr>
        <w:t>  附 件： </w:t>
      </w:r>
      <w:r>
        <w:rPr>
          <w:rFonts w:hint="eastAsia" w:ascii="Microsoft YaHei UI" w:hAnsi="Microsoft YaHei UI" w:eastAsia="Microsoft YaHei UI" w:cs="Microsoft YaHei UI"/>
          <w:b/>
          <w:bCs/>
          <w:i w:val="0"/>
          <w:iCs w:val="0"/>
          <w:caps w:val="0"/>
          <w:color w:val="FFFFFF"/>
          <w:spacing w:val="8"/>
          <w:sz w:val="22"/>
          <w:szCs w:val="22"/>
          <w:bdr w:val="none" w:color="auto" w:sz="0" w:space="0"/>
          <w:shd w:val="clear" w:fill="FFFFFF"/>
        </w:rPr>
        <w:t> </w:t>
      </w:r>
      <w:r>
        <w:rPr>
          <w:rFonts w:hint="eastAsia" w:ascii="Microsoft YaHei UI" w:hAnsi="Microsoft YaHei UI" w:eastAsia="Microsoft YaHei UI" w:cs="Microsoft YaHei UI"/>
          <w:i w:val="0"/>
          <w:iCs w:val="0"/>
          <w:caps w:val="0"/>
          <w:spacing w:val="8"/>
          <w:sz w:val="22"/>
          <w:szCs w:val="22"/>
          <w:bdr w:val="none" w:color="auto" w:sz="0" w:space="0"/>
          <w:shd w:val="clear" w:fill="FFFFFF"/>
        </w:rPr>
        <w:t>赞助、冠名合作方案 （详细内容请与组委会工作人员联系确认）</w:t>
      </w:r>
    </w:p>
    <w:p w14:paraId="66DA3DB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FFFFFF"/>
          <w:spacing w:val="8"/>
          <w:sz w:val="22"/>
          <w:szCs w:val="22"/>
          <w:bdr w:val="none" w:color="auto" w:sz="0" w:space="0"/>
          <w:shd w:val="clear" w:fill="021EAA"/>
        </w:rPr>
        <w:t>  注： </w:t>
      </w:r>
      <w:r>
        <w:rPr>
          <w:rFonts w:hint="eastAsia" w:ascii="Microsoft YaHei UI" w:hAnsi="Microsoft YaHei UI" w:eastAsia="Microsoft YaHei UI" w:cs="Microsoft YaHei UI"/>
          <w:i w:val="0"/>
          <w:iCs w:val="0"/>
          <w:caps w:val="0"/>
          <w:spacing w:val="8"/>
          <w:sz w:val="22"/>
          <w:szCs w:val="22"/>
          <w:bdr w:val="none" w:color="auto" w:sz="0" w:space="0"/>
          <w:shd w:val="clear" w:fill="FFFFFF"/>
        </w:rPr>
        <w:t>组委会可协助安排住宿、交通、展品提取存放等（费用须自理）</w:t>
      </w:r>
    </w:p>
    <w:p w14:paraId="583CCF1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24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p>
    <w:p w14:paraId="1EE3DFF5">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6690" cy="585470"/>
            <wp:effectExtent l="0" t="0" r="10160" b="5080"/>
            <wp:docPr id="13"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descr="IMG_273"/>
                    <pic:cNvPicPr>
                      <a:picLocks noChangeAspect="1"/>
                    </pic:cNvPicPr>
                  </pic:nvPicPr>
                  <pic:blipFill>
                    <a:blip r:embed="rId20"/>
                    <a:stretch>
                      <a:fillRect/>
                    </a:stretch>
                  </pic:blipFill>
                  <pic:spPr>
                    <a:xfrm>
                      <a:off x="0" y="0"/>
                      <a:ext cx="5266690" cy="585470"/>
                    </a:xfrm>
                    <a:prstGeom prst="rect">
                      <a:avLst/>
                    </a:prstGeom>
                    <a:noFill/>
                    <a:ln w="9525">
                      <a:noFill/>
                    </a:ln>
                  </pic:spPr>
                </pic:pic>
              </a:graphicData>
            </a:graphic>
          </wp:inline>
        </w:drawing>
      </w:r>
    </w:p>
    <w:p w14:paraId="4132665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color w:val="021EAA"/>
          <w:spacing w:val="8"/>
          <w:sz w:val="22"/>
          <w:szCs w:val="22"/>
          <w:bdr w:val="none" w:color="auto" w:sz="0" w:space="0"/>
          <w:shd w:val="clear" w:fill="FFFFFF"/>
        </w:rPr>
        <w:t>组委会联系方式</w:t>
      </w:r>
    </w:p>
    <w:p w14:paraId="008AA69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2"/>
          <w:szCs w:val="22"/>
          <w:bdr w:val="none" w:color="auto" w:sz="0" w:space="0"/>
          <w:shd w:val="clear" w:fill="FFFFFF"/>
        </w:rPr>
        <w:t>承办单位：北京善道国际展览有限公司</w:t>
      </w:r>
    </w:p>
    <w:p w14:paraId="1B1EF2B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val="0"/>
          <w:bCs w:val="0"/>
          <w:i w:val="0"/>
          <w:iCs w:val="0"/>
          <w:caps w:val="0"/>
          <w:spacing w:val="8"/>
          <w:sz w:val="22"/>
          <w:szCs w:val="22"/>
          <w:bdr w:val="none" w:color="auto" w:sz="0" w:space="0"/>
          <w:shd w:val="clear" w:fill="FFFFFF"/>
        </w:rPr>
        <w:t>联  系 人：张 超（项目经理）</w:t>
      </w:r>
    </w:p>
    <w:p w14:paraId="51B6308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val="0"/>
          <w:bCs w:val="0"/>
          <w:i w:val="0"/>
          <w:iCs w:val="0"/>
          <w:caps w:val="0"/>
          <w:spacing w:val="8"/>
          <w:sz w:val="22"/>
          <w:szCs w:val="22"/>
          <w:bdr w:val="none" w:color="auto" w:sz="0" w:space="0"/>
          <w:shd w:val="clear" w:fill="FFFFFF"/>
        </w:rPr>
        <w:t>联系电话：15300050291</w:t>
      </w:r>
    </w:p>
    <w:p w14:paraId="6D17597B">
      <w:pPr>
        <w:keepNext w:val="0"/>
        <w:keepLines w:val="0"/>
        <w:widowControl/>
        <w:suppressLineNumbers w:val="0"/>
        <w:spacing w:before="0" w:beforeAutospacing="0" w:after="0" w:afterAutospacing="0"/>
        <w:ind w:left="0" w:right="0"/>
        <w:jc w:val="left"/>
      </w:pPr>
    </w:p>
    <w:p w14:paraId="3967FCBA"/>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B413C3"/>
    <w:rsid w:val="28B413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0</Lines>
  <Paragraphs>0</Paragraphs>
  <TotalTime>1</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2025-07-11T01:30:00Z</dcterms:created>
  <dc:creator>WPS_黄老虎</dc:creator>
  <cp:lastModifiedBy>WPS_黄老虎</cp:lastModifiedBy>
  <dcterms:modified xsi:type="dcterms:W3CDTF">2025-07-11T01:32:34Z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73015237B34C42368809E12EFA41AF6C_11</vt:lpwstr>
  </property>
  <property fmtid="{D5CDD505-2E9C-101B-9397-08002B2CF9AE}" pid="4" name="KSOTemplateDocerSaveRecord">
    <vt:lpwstr>eyJoZGlkIjoiOTY0N2I1MWVhOWQ0NzQ4YmQ3NzVhMDcwY2FlNjU5OTUiLCJ1c2VySWQiOiIxNDkwMDgxNjc1In0=</vt:lpwstr>
  </property>
</Properties>
</file>