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4733925" cy="1632585"/>
            <wp:effectExtent l="0" t="0" r="9525" b="5715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2023上海国际家庭医疗健康用品展览会将于6月28日-30日在上海世博展览馆隆重举行，本届展会展览面积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预计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万平方米，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超过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val="en-US" w:eastAsia="zh-CN"/>
        </w:rPr>
        <w:t>1500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家企业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参展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，作为专注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家庭医疗健康用品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及个人健康生活方式为一体的综合服务平台，与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val="en-US" w:eastAsia="zh-CN"/>
        </w:rPr>
        <w:t>2023第38届上海国际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医疗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器械展览会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 xml:space="preserve">同期举办！ </w:t>
      </w:r>
    </w:p>
    <w:p>
      <w:p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上海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国际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家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庭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医疗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健康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用品展全面推广策略，更由长三角辐射至全国及亚太地区专业买家，整合家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庭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医疗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健康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用品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展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产业资源，加强与目标买家接洽的机会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让展商更能有效开拓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国内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外市场，将上海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国际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家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庭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医疗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健康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用品展构建成行业专业的、高水平的交流平台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主要展示各种微压氧舱、健康氧舱、电子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血压计、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血压表、制氧机、氢水机、富氧仪、足浴按摩器、艾灸仪、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射频仪、开背通络智能仪、盆底谐振仪、温热理疗仪等家用健康医疗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产品。</w:t>
      </w:r>
    </w:p>
    <w:p>
      <w:pPr>
        <w:ind w:firstLine="540" w:firstLineChars="200"/>
        <w:rPr>
          <w:rFonts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特别是</w:t>
      </w:r>
      <w:r>
        <w:rPr>
          <w:rFonts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威奥股份成功研制开发了O型舱及方舱等多种规格的富氧健康舱产品，填补了国内富氧健康保健领域的空白。第四代智能高压氧舱的一大亮点在于“智能”，产品融合其他智能硬件、健康监测设备，用户体验感增强。未来还将推出更多高原舱、增压舱、定制舱，满足多元化需求，且操作简单。</w:t>
      </w:r>
    </w:p>
    <w:p>
      <w:p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观众主要来自医院、医疗器械经销商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/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代理商、百强连锁药店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8"/>
          <w:szCs w:val="28"/>
          <w:shd w:val="clear" w:fill="FFFFFF"/>
          <w:lang w:eastAsia="zh-CN"/>
        </w:rPr>
        <w:t>/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区域性药店采购联盟、体检中心、健身中心、养生馆、美容院、商场健康专柜、养老服务机构、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</w:rPr>
        <w:t>社区卫生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t>中心、康复中心、终端零售商、进出口公司、外贸公司等。</w:t>
      </w:r>
    </w:p>
    <w:p>
      <w:p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  <w:drawing>
          <wp:inline distT="0" distB="0" distL="114300" distR="114300">
            <wp:extent cx="2124075" cy="2124075"/>
            <wp:effectExtent l="0" t="0" r="9525" b="9525"/>
            <wp:docPr id="2" name="图片 2" descr="2023上海国际家庭医疗健康用品展览会观众注册系统-1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上海国际家庭医疗健康用品展览会观众注册系统-1_5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40" w:firstLineChars="200"/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7"/>
          <w:szCs w:val="27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201" w:firstLineChars="500"/>
        <w:jc w:val="both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参观二维码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参观日程：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2023年6月28日上午09:00-下午16:30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2023年6月29日上午09:00-下午16:30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2023年6月30日上午09:00-下午14:00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展会地点：上海世博展览馆2号馆、4号馆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咨询电话：021-64126716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MDUwMGY1OWViZjk0ZmJiZGU0NDk1NzY4NjNhZTIifQ=="/>
  </w:docVars>
  <w:rsids>
    <w:rsidRoot w:val="00000000"/>
    <w:rsid w:val="1C22505F"/>
    <w:rsid w:val="36CD63D5"/>
    <w:rsid w:val="378A6792"/>
    <w:rsid w:val="49D914ED"/>
    <w:rsid w:val="5A4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678</Characters>
  <Lines>0</Lines>
  <Paragraphs>0</Paragraphs>
  <TotalTime>0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</dc:creator>
  <cp:lastModifiedBy>8</cp:lastModifiedBy>
  <dcterms:modified xsi:type="dcterms:W3CDTF">2023-05-24T09:21:13Z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AA2932B7A60F49D689C8E1CAD943EE43_12</vt:lpwstr>
  </property>
</Properties>
</file>