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00" w:lineRule="auto"/>
        <w:jc w:val="center"/>
        <w:rPr>
          <w:rFonts w:hint="eastAsia" w:ascii="微软雅黑" w:hAnsi="微软雅黑" w:eastAsia="微软雅黑" w:cs="微软雅黑"/>
          <w:sz w:val="32"/>
          <w:szCs w:val="32"/>
          <w:lang w:val="en-US" w:eastAsia="zh-CN"/>
        </w:rPr>
      </w:pPr>
      <w:r>
        <w:rPr>
          <w:rFonts w:hint="eastAsia" w:ascii="微软雅黑" w:hAnsi="微软雅黑" w:eastAsia="微软雅黑" w:cs="微软雅黑"/>
          <w:sz w:val="32"/>
          <w:szCs w:val="32"/>
        </w:rPr>
        <w:t>202</w:t>
      </w:r>
      <w:r>
        <w:rPr>
          <w:rFonts w:ascii="微软雅黑" w:hAnsi="微软雅黑" w:eastAsia="微软雅黑" w:cs="微软雅黑"/>
          <w:sz w:val="32"/>
          <w:szCs w:val="32"/>
        </w:rPr>
        <w:t>3</w:t>
      </w:r>
      <w:r>
        <w:rPr>
          <w:rFonts w:hint="eastAsia" w:ascii="微软雅黑" w:hAnsi="微软雅黑" w:eastAsia="微软雅黑" w:cs="微软雅黑"/>
          <w:sz w:val="32"/>
          <w:szCs w:val="32"/>
        </w:rPr>
        <w:t>第2</w:t>
      </w:r>
      <w:r>
        <w:rPr>
          <w:rFonts w:ascii="微软雅黑" w:hAnsi="微软雅黑" w:eastAsia="微软雅黑" w:cs="微软雅黑"/>
          <w:sz w:val="32"/>
          <w:szCs w:val="32"/>
        </w:rPr>
        <w:t>3</w:t>
      </w:r>
      <w:r>
        <w:rPr>
          <w:rFonts w:hint="eastAsia" w:ascii="微软雅黑" w:hAnsi="微软雅黑" w:eastAsia="微软雅黑" w:cs="微软雅黑"/>
          <w:sz w:val="32"/>
          <w:szCs w:val="32"/>
        </w:rPr>
        <w:t>届中国国际机电产品博览会</w:t>
      </w:r>
      <w:r>
        <w:rPr>
          <w:rFonts w:hint="eastAsia" w:ascii="微软雅黑" w:hAnsi="微软雅黑" w:eastAsia="微软雅黑" w:cs="微软雅黑"/>
          <w:sz w:val="32"/>
          <w:szCs w:val="32"/>
          <w:lang w:val="en-US" w:eastAsia="zh-CN"/>
        </w:rPr>
        <w:t>暨</w:t>
      </w:r>
    </w:p>
    <w:p>
      <w:pPr>
        <w:spacing w:line="300" w:lineRule="auto"/>
        <w:jc w:val="center"/>
        <w:rPr>
          <w:rFonts w:hint="default"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第11届武汉机床展</w:t>
      </w:r>
    </w:p>
    <w:p>
      <w:pPr>
        <w:spacing w:line="300" w:lineRule="auto"/>
        <w:jc w:val="center"/>
        <w:rPr>
          <w:rFonts w:ascii="微软雅黑" w:hAnsi="微软雅黑" w:eastAsia="微软雅黑" w:cs="微软雅黑"/>
          <w:sz w:val="32"/>
          <w:szCs w:val="32"/>
        </w:rPr>
      </w:pPr>
      <w:r>
        <w:rPr>
          <w:rFonts w:hint="eastAsia" w:ascii="微软雅黑" w:hAnsi="微软雅黑" w:eastAsia="微软雅黑" w:cs="微软雅黑"/>
          <w:sz w:val="32"/>
          <w:szCs w:val="32"/>
        </w:rPr>
        <w:t>展后报告</w:t>
      </w:r>
    </w:p>
    <w:p>
      <w:pPr>
        <w:spacing w:line="300" w:lineRule="auto"/>
        <w:jc w:val="center"/>
        <w:rPr>
          <w:rFonts w:ascii="宋体" w:hAnsi="宋体" w:eastAsia="宋体"/>
          <w:b/>
          <w:sz w:val="24"/>
        </w:rPr>
      </w:pPr>
      <w:r>
        <w:rPr>
          <w:rFonts w:hint="eastAsia" w:ascii="宋体" w:hAnsi="宋体" w:eastAsia="宋体"/>
          <w:b/>
          <w:sz w:val="24"/>
        </w:rPr>
        <w:t>主办单位：</w:t>
      </w:r>
    </w:p>
    <w:p>
      <w:pPr>
        <w:spacing w:line="300" w:lineRule="auto"/>
        <w:jc w:val="center"/>
        <w:rPr>
          <w:rFonts w:ascii="宋体" w:hAnsi="宋体" w:eastAsia="宋体"/>
          <w:sz w:val="24"/>
        </w:rPr>
      </w:pPr>
      <w:r>
        <w:rPr>
          <w:rFonts w:hint="eastAsia" w:ascii="宋体" w:hAnsi="宋体" w:eastAsia="宋体"/>
          <w:sz w:val="24"/>
        </w:rPr>
        <w:t>武汉市城市建设投资开发集团有限公司</w:t>
      </w:r>
    </w:p>
    <w:p>
      <w:pPr>
        <w:spacing w:line="300" w:lineRule="auto"/>
        <w:jc w:val="center"/>
        <w:rPr>
          <w:rFonts w:ascii="宋体" w:hAnsi="宋体" w:eastAsia="宋体"/>
          <w:sz w:val="24"/>
        </w:rPr>
      </w:pPr>
      <w:r>
        <w:rPr>
          <w:rFonts w:hint="eastAsia" w:ascii="宋体" w:hAnsi="宋体" w:eastAsia="宋体"/>
          <w:sz w:val="24"/>
        </w:rPr>
        <w:t>中国机电产品进出口商会</w:t>
      </w:r>
    </w:p>
    <w:p>
      <w:pPr>
        <w:spacing w:line="300" w:lineRule="auto"/>
        <w:jc w:val="center"/>
        <w:rPr>
          <w:rFonts w:ascii="宋体" w:hAnsi="宋体" w:eastAsia="宋体"/>
          <w:b/>
          <w:sz w:val="24"/>
        </w:rPr>
      </w:pPr>
      <w:r>
        <w:rPr>
          <w:rFonts w:hint="eastAsia" w:ascii="宋体" w:hAnsi="宋体" w:eastAsia="宋体"/>
          <w:b/>
          <w:sz w:val="24"/>
        </w:rPr>
        <w:t>承办单位：</w:t>
      </w:r>
    </w:p>
    <w:p>
      <w:pPr>
        <w:spacing w:line="300" w:lineRule="auto"/>
        <w:jc w:val="center"/>
        <w:rPr>
          <w:rFonts w:ascii="宋体" w:hAnsi="宋体" w:eastAsia="宋体"/>
          <w:sz w:val="24"/>
        </w:rPr>
      </w:pPr>
      <w:r>
        <w:rPr>
          <w:rFonts w:hint="eastAsia" w:ascii="宋体" w:hAnsi="宋体" w:eastAsia="宋体"/>
          <w:sz w:val="24"/>
        </w:rPr>
        <w:t>武汉国际会展集团股份有限公司</w:t>
      </w:r>
    </w:p>
    <w:p>
      <w:pPr>
        <w:spacing w:line="300" w:lineRule="auto"/>
        <w:jc w:val="center"/>
        <w:rPr>
          <w:rFonts w:ascii="宋体" w:hAnsi="宋体" w:eastAsia="宋体"/>
          <w:b/>
          <w:sz w:val="24"/>
        </w:rPr>
      </w:pPr>
      <w:r>
        <w:rPr>
          <w:rFonts w:hint="eastAsia" w:ascii="宋体" w:hAnsi="宋体" w:eastAsia="宋体"/>
          <w:b/>
          <w:sz w:val="24"/>
        </w:rPr>
        <w:t>协办单位：</w:t>
      </w:r>
    </w:p>
    <w:p>
      <w:pPr>
        <w:spacing w:line="300" w:lineRule="auto"/>
        <w:jc w:val="center"/>
        <w:rPr>
          <w:rFonts w:ascii="宋体" w:hAnsi="宋体" w:eastAsia="宋体"/>
          <w:sz w:val="24"/>
        </w:rPr>
      </w:pPr>
      <w:r>
        <w:rPr>
          <w:rFonts w:hint="eastAsia" w:ascii="宋体" w:hAnsi="宋体" w:eastAsia="宋体"/>
          <w:sz w:val="24"/>
        </w:rPr>
        <w:t>湖北立嘉展览展有限公司</w:t>
      </w:r>
    </w:p>
    <w:p>
      <w:pPr>
        <w:spacing w:line="300" w:lineRule="auto"/>
        <w:jc w:val="center"/>
        <w:rPr>
          <w:rFonts w:ascii="宋体" w:hAnsi="宋体" w:eastAsia="宋体"/>
          <w:sz w:val="24"/>
        </w:rPr>
      </w:pPr>
    </w:p>
    <w:p>
      <w:pPr>
        <w:spacing w:line="300" w:lineRule="auto"/>
        <w:ind w:firstLine="141" w:firstLineChars="50"/>
        <w:jc w:val="center"/>
        <w:rPr>
          <w:rFonts w:ascii="宋体" w:hAnsi="宋体" w:eastAsia="宋体"/>
          <w:b/>
          <w:bCs/>
        </w:rPr>
      </w:pPr>
      <w:r>
        <w:rPr>
          <w:rFonts w:hint="eastAsia" w:ascii="宋体" w:hAnsi="宋体" w:eastAsia="宋体"/>
          <w:b/>
          <w:bCs/>
          <w:sz w:val="28"/>
        </w:rPr>
        <w:t>中部崛起的工业力量  智能制造的市场机遇</w:t>
      </w:r>
    </w:p>
    <w:p>
      <w:pPr>
        <w:spacing w:line="300" w:lineRule="auto"/>
        <w:ind w:firstLine="420" w:firstLineChars="200"/>
        <w:rPr>
          <w:rFonts w:ascii="宋体" w:hAnsi="宋体" w:eastAsia="宋体" w:cs="宋体"/>
        </w:rPr>
      </w:pPr>
      <w:r>
        <w:rPr>
          <w:rFonts w:hint="eastAsia" w:ascii="宋体" w:hAnsi="宋体" w:eastAsia="宋体" w:cs="宋体"/>
        </w:rPr>
        <w:t>202</w:t>
      </w:r>
      <w:r>
        <w:rPr>
          <w:rFonts w:ascii="宋体" w:hAnsi="宋体" w:eastAsia="宋体" w:cs="宋体"/>
        </w:rPr>
        <w:t>3</w:t>
      </w:r>
      <w:r>
        <w:rPr>
          <w:rFonts w:hint="eastAsia" w:ascii="宋体" w:hAnsi="宋体" w:eastAsia="宋体" w:cs="宋体"/>
        </w:rPr>
        <w:t>年9月1</w:t>
      </w:r>
      <w:r>
        <w:rPr>
          <w:rFonts w:ascii="宋体" w:hAnsi="宋体" w:eastAsia="宋体" w:cs="宋体"/>
        </w:rPr>
        <w:t>4</w:t>
      </w:r>
      <w:r>
        <w:rPr>
          <w:rFonts w:hint="eastAsia" w:ascii="宋体" w:hAnsi="宋体" w:eastAsia="宋体" w:cs="宋体"/>
        </w:rPr>
        <w:t>-</w:t>
      </w:r>
      <w:r>
        <w:rPr>
          <w:rFonts w:ascii="宋体" w:hAnsi="宋体" w:eastAsia="宋体" w:cs="宋体"/>
        </w:rPr>
        <w:t>17</w:t>
      </w:r>
      <w:r>
        <w:rPr>
          <w:rFonts w:hint="eastAsia" w:ascii="宋体" w:hAnsi="宋体" w:eastAsia="宋体" w:cs="宋体"/>
        </w:rPr>
        <w:t>日，由武汉市城市建设投资开发集团有限公司、中国机电产品进出口商会主办，武汉国际会展集团股份有限公司承办，湖北立嘉会议展览有限公司协办的第23届中国国际机电产品博览会，在武汉国际博览中心成功举办，吸引超过</w:t>
      </w:r>
      <w:r>
        <w:rPr>
          <w:rFonts w:ascii="宋体" w:hAnsi="宋体" w:eastAsia="宋体" w:cs="宋体"/>
        </w:rPr>
        <w:t>3</w:t>
      </w:r>
      <w:r>
        <w:rPr>
          <w:rFonts w:hint="eastAsia" w:ascii="宋体" w:hAnsi="宋体" w:eastAsia="宋体" w:cs="宋体"/>
        </w:rPr>
        <w:t>万次嘉宾前来参观！</w:t>
      </w:r>
    </w:p>
    <w:p>
      <w:pPr>
        <w:widowControl/>
        <w:spacing w:line="300" w:lineRule="auto"/>
        <w:ind w:firstLine="420" w:firstLineChars="200"/>
        <w:jc w:val="left"/>
        <w:rPr>
          <w:rFonts w:ascii="宋体" w:hAnsi="宋体" w:eastAsia="宋体" w:cs="宋体"/>
          <w:color w:val="000000"/>
          <w:kern w:val="0"/>
          <w:szCs w:val="21"/>
        </w:rPr>
      </w:pPr>
      <w:r>
        <w:rPr>
          <w:rFonts w:ascii="宋体" w:hAnsi="宋体" w:eastAsia="宋体"/>
        </w:rPr>
        <w:t>本届展会</w:t>
      </w:r>
      <w:r>
        <w:rPr>
          <w:rFonts w:hint="eastAsia" w:ascii="宋体" w:hAnsi="宋体" w:eastAsia="宋体"/>
        </w:rPr>
        <w:t>以“数智赋能，科技创新”为主题，</w:t>
      </w:r>
      <w:r>
        <w:rPr>
          <w:rFonts w:ascii="宋体" w:hAnsi="宋体" w:eastAsia="宋体" w:cs="宋体"/>
          <w:color w:val="000000"/>
          <w:kern w:val="0"/>
          <w:szCs w:val="21"/>
        </w:rPr>
        <w:t>展</w:t>
      </w:r>
      <w:r>
        <w:rPr>
          <w:rFonts w:ascii="宋体" w:hAnsi="宋体" w:eastAsia="宋体" w:cs="宋体"/>
          <w:kern w:val="0"/>
          <w:szCs w:val="21"/>
        </w:rPr>
        <w:t>出面积达</w:t>
      </w:r>
      <w:r>
        <w:t>4万</w:t>
      </w:r>
      <w:r>
        <w:rPr>
          <w:rFonts w:ascii="宋体" w:hAnsi="宋体" w:eastAsia="宋体" w:cs="宋体"/>
        </w:rPr>
        <w:t>平</w:t>
      </w:r>
      <w:r>
        <w:rPr>
          <w:rFonts w:ascii="宋体" w:hAnsi="宋体" w:eastAsia="宋体" w:cs="宋体"/>
          <w:kern w:val="0"/>
          <w:szCs w:val="21"/>
        </w:rPr>
        <w:t>方米，</w:t>
      </w:r>
      <w:r>
        <w:rPr>
          <w:rFonts w:ascii="宋体" w:hAnsi="宋体" w:eastAsia="宋体"/>
        </w:rPr>
        <w:t>来自美国、日本、韩国、瑞士等10余个国家及国内20多个省市</w:t>
      </w:r>
      <w:r>
        <w:rPr>
          <w:rFonts w:hint="eastAsia" w:ascii="宋体" w:hAnsi="宋体" w:eastAsia="宋体"/>
        </w:rPr>
        <w:t>的461家制造商以及终端用户</w:t>
      </w:r>
      <w:r>
        <w:rPr>
          <w:rFonts w:ascii="宋体" w:hAnsi="宋体" w:eastAsia="宋体"/>
        </w:rPr>
        <w:t>携实物展示</w:t>
      </w:r>
      <w:r>
        <w:rPr>
          <w:rFonts w:hint="eastAsia" w:ascii="宋体" w:hAnsi="宋体" w:eastAsia="宋体"/>
        </w:rPr>
        <w:t>。</w:t>
      </w:r>
      <w:r>
        <w:rPr>
          <w:rFonts w:hint="eastAsia" w:ascii="宋体" w:hAnsi="宋体" w:eastAsia="宋体" w:cs="宋体"/>
          <w:color w:val="000000"/>
          <w:kern w:val="0"/>
          <w:szCs w:val="21"/>
        </w:rPr>
        <w:t>涵盖机床、智能工厂、焊接切割设备、橡塑与包装工业、模具、管材及加工设备、新能源汽车技术及孔加工解决方案六大专区，</w:t>
      </w:r>
      <w:r>
        <w:rPr>
          <w:rFonts w:ascii="宋体" w:hAnsi="宋体" w:eastAsia="宋体" w:cs="宋体"/>
          <w:color w:val="000000"/>
          <w:kern w:val="0"/>
          <w:szCs w:val="21"/>
        </w:rPr>
        <w:t>集中展示近年来装备制造业取得的新成果</w:t>
      </w:r>
      <w:r>
        <w:rPr>
          <w:rFonts w:hint="eastAsia" w:ascii="宋体" w:hAnsi="宋体" w:eastAsia="宋体" w:cs="宋体"/>
          <w:color w:val="000000"/>
          <w:kern w:val="0"/>
          <w:szCs w:val="21"/>
        </w:rPr>
        <w:t>，国内国外企业同台竞技，助推行业发展新动态，以更专业的装备制造产业生态赋能行业。</w:t>
      </w:r>
    </w:p>
    <w:p>
      <w:pPr>
        <w:widowControl/>
        <w:spacing w:line="300" w:lineRule="auto"/>
        <w:ind w:left="630" w:leftChars="200" w:hanging="210" w:hangingChars="100"/>
        <w:jc w:val="left"/>
        <w:rPr>
          <w:rFonts w:ascii="宋体" w:hAnsi="宋体" w:eastAsia="宋体"/>
          <w:color w:val="000000"/>
          <w:kern w:val="0"/>
          <w:szCs w:val="21"/>
        </w:rPr>
      </w:pPr>
      <w:r>
        <w:rPr>
          <w:rFonts w:hint="eastAsia" w:ascii="宋体" w:hAnsi="宋体" w:eastAsia="宋体" w:cs="宋体"/>
          <w:color w:val="000000"/>
          <w:kern w:val="0"/>
          <w:szCs w:val="21"/>
        </w:rPr>
        <w:t xml:space="preserve"> </w:t>
      </w:r>
      <w:r>
        <w:rPr>
          <w:rFonts w:ascii="宋体" w:hAnsi="宋体" w:eastAsia="宋体" w:cs="宋体"/>
          <w:color w:val="000000"/>
          <w:kern w:val="0"/>
          <w:szCs w:val="21"/>
        </w:rPr>
        <w:t xml:space="preserve"> </w:t>
      </w:r>
      <w:r>
        <w:drawing>
          <wp:inline distT="0" distB="0" distL="0" distR="0">
            <wp:extent cx="2164080" cy="1442720"/>
            <wp:effectExtent l="0" t="0" r="7620" b="508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164227" cy="1442818"/>
                    </a:xfrm>
                    <a:prstGeom prst="rect">
                      <a:avLst/>
                    </a:prstGeom>
                    <a:noFill/>
                    <a:ln>
                      <a:noFill/>
                    </a:ln>
                  </pic:spPr>
                </pic:pic>
              </a:graphicData>
            </a:graphic>
          </wp:inline>
        </w:drawing>
      </w:r>
      <w:r>
        <w:rPr>
          <w:rFonts w:hint="eastAsia" w:ascii="宋体" w:hAnsi="宋体" w:eastAsia="宋体"/>
          <w:color w:val="000000"/>
          <w:kern w:val="0"/>
          <w:szCs w:val="21"/>
        </w:rPr>
        <w:t xml:space="preserve"> </w:t>
      </w:r>
      <w:r>
        <w:rPr>
          <w:rFonts w:ascii="宋体" w:hAnsi="宋体" w:eastAsia="宋体"/>
          <w:color w:val="000000"/>
          <w:kern w:val="0"/>
          <w:szCs w:val="21"/>
        </w:rPr>
        <w:t xml:space="preserve">  </w:t>
      </w:r>
      <w:r>
        <w:t xml:space="preserve"> </w:t>
      </w:r>
      <w:r>
        <w:drawing>
          <wp:inline distT="0" distB="0" distL="0" distR="0">
            <wp:extent cx="2133600" cy="1422400"/>
            <wp:effectExtent l="0" t="0" r="0" b="635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133745" cy="1422497"/>
                    </a:xfrm>
                    <a:prstGeom prst="rect">
                      <a:avLst/>
                    </a:prstGeom>
                    <a:noFill/>
                    <a:ln>
                      <a:noFill/>
                    </a:ln>
                  </pic:spPr>
                </pic:pic>
              </a:graphicData>
            </a:graphic>
          </wp:inline>
        </w:drawing>
      </w:r>
      <w:r>
        <w:t xml:space="preserve">  </w:t>
      </w:r>
      <w:r>
        <w:drawing>
          <wp:inline distT="0" distB="0" distL="0" distR="0">
            <wp:extent cx="2156460" cy="1621155"/>
            <wp:effectExtent l="0" t="0" r="0" b="0"/>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188736" cy="1645605"/>
                    </a:xfrm>
                    <a:prstGeom prst="rect">
                      <a:avLst/>
                    </a:prstGeom>
                    <a:noFill/>
                    <a:ln>
                      <a:noFill/>
                    </a:ln>
                  </pic:spPr>
                </pic:pic>
              </a:graphicData>
            </a:graphic>
          </wp:inline>
        </w:drawing>
      </w:r>
      <w:r>
        <w:t xml:space="preserve">    </w:t>
      </w:r>
      <w:r>
        <w:drawing>
          <wp:inline distT="0" distB="0" distL="0" distR="0">
            <wp:extent cx="2186940" cy="1640840"/>
            <wp:effectExtent l="0" t="0" r="3810" b="0"/>
            <wp:docPr id="21" name="图片 2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205392" cy="1654861"/>
                    </a:xfrm>
                    <a:prstGeom prst="rect">
                      <a:avLst/>
                    </a:prstGeom>
                    <a:noFill/>
                    <a:ln>
                      <a:noFill/>
                    </a:ln>
                  </pic:spPr>
                </pic:pic>
              </a:graphicData>
            </a:graphic>
          </wp:inline>
        </w:drawing>
      </w:r>
    </w:p>
    <w:p>
      <w:pPr>
        <w:widowControl/>
        <w:spacing w:line="300" w:lineRule="auto"/>
        <w:ind w:firstLine="420" w:firstLineChars="200"/>
        <w:jc w:val="left"/>
        <w:rPr>
          <w:rFonts w:ascii="宋体" w:hAnsi="宋体" w:eastAsia="宋体"/>
          <w:color w:val="000000"/>
          <w:kern w:val="0"/>
          <w:szCs w:val="21"/>
        </w:rPr>
      </w:pPr>
      <w:r>
        <w:rPr>
          <w:rFonts w:ascii="宋体" w:hAnsi="宋体" w:eastAsia="宋体" w:cs="宋体"/>
          <w:color w:val="000000"/>
          <w:kern w:val="0"/>
          <w:szCs w:val="21"/>
        </w:rPr>
        <w:t>据统计数据显示：在4天展期内，共计</w:t>
      </w:r>
      <w:r>
        <w:rPr>
          <w:rFonts w:hint="eastAsia" w:ascii="宋体" w:hAnsi="宋体" w:eastAsia="宋体" w:cs="宋体"/>
          <w:color w:val="000000"/>
          <w:kern w:val="0"/>
          <w:szCs w:val="21"/>
        </w:rPr>
        <w:t>近1</w:t>
      </w:r>
      <w:r>
        <w:rPr>
          <w:rFonts w:ascii="宋体" w:hAnsi="宋体" w:eastAsia="宋体" w:cs="宋体"/>
          <w:color w:val="000000"/>
          <w:kern w:val="0"/>
          <w:szCs w:val="21"/>
        </w:rPr>
        <w:t>00</w:t>
      </w:r>
      <w:r>
        <w:rPr>
          <w:rFonts w:hint="eastAsia" w:ascii="宋体" w:hAnsi="宋体" w:eastAsia="宋体" w:cs="宋体"/>
          <w:color w:val="000000"/>
          <w:kern w:val="0"/>
          <w:szCs w:val="21"/>
        </w:rPr>
        <w:t>家</w:t>
      </w:r>
      <w:r>
        <w:rPr>
          <w:rFonts w:ascii="宋体" w:hAnsi="宋体" w:eastAsia="宋体" w:cs="宋体"/>
          <w:color w:val="000000"/>
          <w:kern w:val="0"/>
          <w:szCs w:val="21"/>
        </w:rPr>
        <w:t>商会协会、工业园区、大型企业组团参观；</w:t>
      </w:r>
      <w:r>
        <w:rPr>
          <w:rFonts w:hint="eastAsia" w:ascii="宋体" w:hAnsi="宋体" w:eastAsia="宋体" w:cs="宋体"/>
          <w:color w:val="000000"/>
          <w:kern w:val="0"/>
          <w:szCs w:val="21"/>
        </w:rPr>
        <w:t>有</w:t>
      </w:r>
      <w:r>
        <w:rPr>
          <w:rFonts w:ascii="宋体" w:hAnsi="宋体" w:eastAsia="宋体" w:cs="宋体"/>
          <w:color w:val="000000"/>
          <w:kern w:val="0"/>
          <w:szCs w:val="21"/>
        </w:rPr>
        <w:t>13672</w:t>
      </w:r>
      <w:r>
        <w:rPr>
          <w:rFonts w:hint="eastAsia" w:ascii="宋体" w:hAnsi="宋体" w:eastAsia="宋体" w:cs="宋体"/>
          <w:color w:val="000000"/>
          <w:kern w:val="0"/>
          <w:szCs w:val="21"/>
        </w:rPr>
        <w:t>名</w:t>
      </w:r>
      <w:r>
        <w:rPr>
          <w:rFonts w:ascii="宋体" w:hAnsi="宋体" w:eastAsia="宋体" w:cs="宋体"/>
          <w:color w:val="000000"/>
          <w:kern w:val="0"/>
          <w:szCs w:val="21"/>
        </w:rPr>
        <w:t>来自</w:t>
      </w:r>
      <w:r>
        <w:rPr>
          <w:rFonts w:hint="eastAsia" w:ascii="宋体" w:hAnsi="宋体" w:eastAsia="宋体" w:cs="宋体"/>
          <w:color w:val="000000"/>
          <w:kern w:val="0"/>
          <w:szCs w:val="21"/>
        </w:rPr>
        <w:t>日本、新加坡、印度以及国内</w:t>
      </w:r>
      <w:r>
        <w:rPr>
          <w:rFonts w:ascii="宋体" w:hAnsi="宋体" w:eastAsia="宋体" w:cs="宋体"/>
          <w:color w:val="000000"/>
          <w:kern w:val="0"/>
          <w:szCs w:val="21"/>
        </w:rPr>
        <w:t>6341家大中小型企业</w:t>
      </w:r>
      <w:r>
        <w:rPr>
          <w:rFonts w:hint="eastAsia" w:ascii="宋体" w:hAnsi="宋体" w:eastAsia="宋体" w:cs="宋体"/>
          <w:color w:val="000000"/>
          <w:kern w:val="0"/>
          <w:szCs w:val="21"/>
        </w:rPr>
        <w:t>的</w:t>
      </w:r>
      <w:r>
        <w:rPr>
          <w:rFonts w:ascii="宋体" w:hAnsi="宋体" w:eastAsia="宋体" w:cs="宋体"/>
          <w:color w:val="000000"/>
          <w:kern w:val="0"/>
          <w:szCs w:val="21"/>
        </w:rPr>
        <w:t>专业观众、采购商莅临现场参观采购。</w:t>
      </w:r>
    </w:p>
    <w:p>
      <w:pPr>
        <w:widowControl/>
        <w:spacing w:line="300" w:lineRule="auto"/>
        <w:ind w:firstLine="420" w:firstLineChars="200"/>
        <w:jc w:val="left"/>
        <w:rPr>
          <w:rFonts w:ascii="宋体" w:hAnsi="宋体" w:eastAsia="宋体"/>
          <w:color w:val="000000"/>
          <w:kern w:val="0"/>
          <w:szCs w:val="21"/>
        </w:rPr>
      </w:pPr>
    </w:p>
    <w:p>
      <w:pPr>
        <w:spacing w:line="300" w:lineRule="auto"/>
        <w:jc w:val="left"/>
        <w:rPr>
          <w:rFonts w:ascii="宋体" w:hAnsi="宋体" w:eastAsia="宋体"/>
        </w:rPr>
      </w:pPr>
      <w:r>
        <w:rPr>
          <w:rFonts w:hint="eastAsia" w:ascii="宋体" w:hAnsi="宋体" w:eastAsia="宋体"/>
        </w:rPr>
        <w:t>观众人数：</w:t>
      </w:r>
      <w:r>
        <w:rPr>
          <w:rFonts w:ascii="宋体" w:hAnsi="宋体" w:eastAsia="宋体"/>
        </w:rPr>
        <w:t>13672</w:t>
      </w:r>
      <w:r>
        <w:rPr>
          <w:rFonts w:hint="eastAsia" w:ascii="宋体" w:hAnsi="宋体" w:eastAsia="宋体"/>
        </w:rPr>
        <w:t xml:space="preserve">  展商数量：</w:t>
      </w:r>
      <w:r>
        <w:rPr>
          <w:rFonts w:ascii="宋体" w:hAnsi="宋体" w:eastAsia="宋体"/>
        </w:rPr>
        <w:t>461</w:t>
      </w:r>
      <w:r>
        <w:rPr>
          <w:rFonts w:hint="eastAsia" w:ascii="宋体" w:hAnsi="宋体" w:eastAsia="宋体"/>
        </w:rPr>
        <w:t>家   参观企业：</w:t>
      </w:r>
      <w:r>
        <w:rPr>
          <w:rFonts w:ascii="宋体" w:hAnsi="宋体" w:eastAsia="宋体" w:cs="宋体"/>
          <w:kern w:val="0"/>
          <w:szCs w:val="21"/>
        </w:rPr>
        <w:t>6341</w:t>
      </w:r>
      <w:r>
        <w:rPr>
          <w:rFonts w:hint="eastAsia" w:ascii="宋体" w:hAnsi="宋体" w:eastAsia="宋体"/>
        </w:rPr>
        <w:t>家</w:t>
      </w:r>
    </w:p>
    <w:p>
      <w:pPr>
        <w:spacing w:line="300" w:lineRule="auto"/>
        <w:jc w:val="left"/>
        <w:rPr>
          <w:rFonts w:ascii="宋体" w:hAnsi="宋体" w:eastAsia="宋体"/>
        </w:rPr>
      </w:pPr>
      <w:r>
        <w:rPr>
          <w:rFonts w:hint="eastAsia" w:ascii="宋体" w:hAnsi="宋体" w:eastAsia="宋体"/>
        </w:rPr>
        <w:t>展会面积：</w:t>
      </w:r>
      <w:r>
        <w:rPr>
          <w:rFonts w:ascii="宋体" w:hAnsi="宋体" w:eastAsia="宋体"/>
        </w:rPr>
        <w:t>4</w:t>
      </w:r>
      <w:r>
        <w:rPr>
          <w:rFonts w:hint="eastAsia" w:ascii="宋体" w:hAnsi="宋体" w:eastAsia="宋体"/>
        </w:rPr>
        <w:t>0000㎡  论坛活动：1</w:t>
      </w:r>
      <w:r>
        <w:rPr>
          <w:rFonts w:ascii="宋体" w:hAnsi="宋体" w:eastAsia="宋体"/>
        </w:rPr>
        <w:t>0</w:t>
      </w:r>
      <w:r>
        <w:rPr>
          <w:rFonts w:hint="eastAsia" w:ascii="宋体" w:hAnsi="宋体" w:eastAsia="宋体"/>
        </w:rPr>
        <w:t>场   前沿展品：6</w:t>
      </w:r>
      <w:r>
        <w:rPr>
          <w:rFonts w:ascii="宋体" w:hAnsi="宋体" w:eastAsia="宋体"/>
        </w:rPr>
        <w:t>000+</w:t>
      </w:r>
    </w:p>
    <w:p>
      <w:pPr>
        <w:spacing w:line="300" w:lineRule="auto"/>
        <w:jc w:val="left"/>
        <w:rPr>
          <w:rFonts w:ascii="宋体" w:hAnsi="宋体" w:eastAsia="宋体"/>
        </w:rPr>
      </w:pPr>
      <w:r>
        <w:rPr>
          <w:rFonts w:hint="eastAsia" w:ascii="宋体" w:hAnsi="宋体" w:eastAsia="宋体"/>
        </w:rPr>
        <w:t>较上届：</w:t>
      </w:r>
    </w:p>
    <w:p>
      <w:pPr>
        <w:spacing w:line="300" w:lineRule="auto"/>
        <w:jc w:val="left"/>
        <w:rPr>
          <w:rFonts w:ascii="宋体" w:hAnsi="宋体" w:eastAsia="宋体"/>
        </w:rPr>
      </w:pPr>
      <w:r>
        <w:rPr>
          <w:rFonts w:hint="eastAsia" w:ascii="宋体" w:hAnsi="宋体" w:eastAsia="宋体"/>
        </w:rPr>
        <w:t xml:space="preserve"> </w:t>
      </w:r>
      <w:r>
        <w:rPr>
          <w:rFonts w:ascii="宋体" w:hAnsi="宋体" w:eastAsia="宋体"/>
        </w:rPr>
        <w:t xml:space="preserve">   </w:t>
      </w:r>
      <w:r>
        <w:rPr>
          <w:rFonts w:hint="eastAsia" w:ascii="宋体" w:hAnsi="宋体" w:eastAsia="宋体"/>
        </w:rPr>
        <w:t>面积增长：3</w:t>
      </w:r>
      <w:r>
        <w:rPr>
          <w:rFonts w:ascii="宋体" w:hAnsi="宋体" w:eastAsia="宋体"/>
        </w:rPr>
        <w:t>3.33%</w:t>
      </w:r>
    </w:p>
    <w:p>
      <w:pPr>
        <w:spacing w:line="300" w:lineRule="auto"/>
        <w:ind w:firstLine="420" w:firstLineChars="200"/>
        <w:jc w:val="left"/>
        <w:rPr>
          <w:rFonts w:ascii="宋体" w:hAnsi="宋体" w:eastAsia="宋体"/>
        </w:rPr>
      </w:pPr>
      <w:r>
        <w:rPr>
          <w:rFonts w:hint="eastAsia" w:ascii="宋体" w:hAnsi="宋体" w:eastAsia="宋体"/>
        </w:rPr>
        <w:t>观众增长：2</w:t>
      </w:r>
      <w:r>
        <w:rPr>
          <w:rFonts w:ascii="宋体" w:hAnsi="宋体" w:eastAsia="宋体"/>
        </w:rPr>
        <w:t>5.87%</w:t>
      </w:r>
    </w:p>
    <w:p>
      <w:pPr>
        <w:spacing w:line="300" w:lineRule="auto"/>
        <w:ind w:firstLine="420" w:firstLineChars="200"/>
        <w:jc w:val="left"/>
        <w:rPr>
          <w:rFonts w:ascii="宋体" w:hAnsi="宋体" w:eastAsia="宋体"/>
        </w:rPr>
      </w:pPr>
      <w:r>
        <w:rPr>
          <w:rFonts w:hint="eastAsia" w:ascii="宋体" w:hAnsi="宋体" w:eastAsia="宋体"/>
        </w:rPr>
        <w:t>展商增长：2</w:t>
      </w:r>
      <w:r>
        <w:rPr>
          <w:rFonts w:ascii="宋体" w:hAnsi="宋体" w:eastAsia="宋体"/>
        </w:rPr>
        <w:t>7.35%</w:t>
      </w:r>
    </w:p>
    <w:p>
      <w:pPr>
        <w:spacing w:line="300" w:lineRule="auto"/>
        <w:rPr>
          <w:rFonts w:ascii="宋体" w:hAnsi="宋体" w:eastAsia="宋体"/>
          <w:u w:val="single"/>
        </w:rPr>
      </w:pPr>
    </w:p>
    <w:p>
      <w:pPr>
        <w:spacing w:line="300" w:lineRule="auto"/>
        <w:rPr>
          <w:rFonts w:ascii="宋体" w:hAnsi="宋体" w:eastAsia="宋体"/>
          <w:u w:val="single"/>
        </w:rPr>
      </w:pPr>
      <w:r>
        <w:rPr>
          <w:rFonts w:ascii="宋体" w:hAnsi="宋体" w:eastAsia="宋体"/>
          <w:u w:val="single"/>
        </w:rPr>
        <w:drawing>
          <wp:inline distT="0" distB="0" distL="0" distR="0">
            <wp:extent cx="5274310" cy="2966720"/>
            <wp:effectExtent l="0" t="0" r="2540" b="5080"/>
            <wp:docPr id="3" name="图片 3" descr="C:\Users\86186\AppData\Local\Temp\WeChat Files\dbc8839c119dc9983b9219686958a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86186\AppData\Local\Temp\WeChat Files\dbc8839c119dc9983b9219686958a7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2966799"/>
                    </a:xfrm>
                    <a:prstGeom prst="rect">
                      <a:avLst/>
                    </a:prstGeom>
                    <a:noFill/>
                    <a:ln>
                      <a:noFill/>
                    </a:ln>
                  </pic:spPr>
                </pic:pic>
              </a:graphicData>
            </a:graphic>
          </wp:inline>
        </w:drawing>
      </w:r>
    </w:p>
    <w:p>
      <w:pPr>
        <w:spacing w:line="300" w:lineRule="auto"/>
        <w:rPr>
          <w:rFonts w:ascii="宋体" w:hAnsi="宋体" w:eastAsia="宋体"/>
          <w:b/>
          <w:sz w:val="24"/>
        </w:rPr>
      </w:pPr>
      <w:r>
        <w:rPr>
          <w:rFonts w:hint="eastAsia" w:ascii="宋体" w:hAnsi="宋体" w:eastAsia="宋体"/>
          <w:b/>
          <w:sz w:val="24"/>
        </w:rPr>
        <w:t>一、展会亮点：</w:t>
      </w:r>
    </w:p>
    <w:p>
      <w:pPr>
        <w:widowControl/>
        <w:spacing w:line="300" w:lineRule="auto"/>
        <w:rPr>
          <w:rFonts w:ascii="宋体" w:hAnsi="宋体" w:eastAsia="宋体"/>
          <w:b/>
        </w:rPr>
      </w:pPr>
      <w:r>
        <w:rPr>
          <w:rFonts w:hint="eastAsia" w:ascii="MS Gothic" w:hAnsi="MS Gothic" w:eastAsia="MS Gothic" w:cs="MS Gothic"/>
          <w:b/>
          <w:kern w:val="0"/>
          <w:szCs w:val="21"/>
          <w:lang w:bidi="ar"/>
        </w:rPr>
        <w:t>✱</w:t>
      </w:r>
      <w:r>
        <w:rPr>
          <w:rFonts w:ascii="宋体" w:hAnsi="宋体" w:eastAsia="宋体" w:cs="微软雅黑"/>
          <w:b/>
          <w:kern w:val="0"/>
          <w:szCs w:val="21"/>
          <w:lang w:bidi="ar"/>
        </w:rPr>
        <w:t xml:space="preserve"> </w:t>
      </w:r>
      <w:r>
        <w:rPr>
          <w:rFonts w:hint="eastAsia" w:ascii="宋体" w:hAnsi="宋体" w:eastAsia="宋体" w:cs="微软雅黑"/>
          <w:b/>
          <w:kern w:val="0"/>
          <w:szCs w:val="21"/>
          <w:lang w:bidi="ar"/>
        </w:rPr>
        <w:t>国际化——</w:t>
      </w:r>
      <w:r>
        <w:rPr>
          <w:rFonts w:hint="eastAsia" w:ascii="宋体" w:hAnsi="宋体" w:eastAsia="宋体"/>
          <w:b/>
        </w:rPr>
        <w:t>国内外知名企业携新品出席，赋能产业新动态</w:t>
      </w:r>
    </w:p>
    <w:p>
      <w:pPr>
        <w:pStyle w:val="6"/>
        <w:widowControl/>
        <w:spacing w:beforeAutospacing="0" w:afterAutospacing="0" w:line="300" w:lineRule="auto"/>
        <w:ind w:firstLine="420" w:firstLineChars="200"/>
        <w:jc w:val="both"/>
        <w:rPr>
          <w:rFonts w:ascii="宋体" w:hAnsi="宋体" w:eastAsia="宋体" w:cstheme="minorEastAsia"/>
          <w:color w:val="000000"/>
          <w:sz w:val="21"/>
          <w:szCs w:val="21"/>
        </w:rPr>
      </w:pPr>
      <w:r>
        <w:rPr>
          <w:rFonts w:hint="eastAsia" w:ascii="宋体" w:hAnsi="宋体" w:eastAsia="宋体" w:cstheme="minorEastAsia"/>
          <w:color w:val="000000"/>
          <w:sz w:val="21"/>
          <w:szCs w:val="21"/>
        </w:rPr>
        <w:t>一分钟生产110个纸盒的自动化包装生产线、根据客户需求专属设计的激光切管设备、可视觉定位的焊接机械手臂、集成了大数据和新一代人工智能技术的智能数控系统……在本届机博会现场一大批高精尖智能装备集中亮相，一展“中国智造”的创新实力。</w:t>
      </w:r>
    </w:p>
    <w:p>
      <w:pPr>
        <w:pStyle w:val="6"/>
        <w:widowControl/>
        <w:spacing w:beforeAutospacing="0" w:afterAutospacing="0" w:line="300" w:lineRule="auto"/>
        <w:ind w:firstLine="420"/>
        <w:jc w:val="both"/>
        <w:rPr>
          <w:rFonts w:ascii="宋体" w:hAnsi="宋体" w:eastAsia="宋体" w:cstheme="minorEastAsia"/>
          <w:color w:val="000000"/>
          <w:sz w:val="21"/>
          <w:szCs w:val="21"/>
        </w:rPr>
      </w:pPr>
      <w:r>
        <w:rPr>
          <w:rFonts w:hint="eastAsia" w:ascii="宋体" w:hAnsi="宋体" w:eastAsia="宋体" w:cstheme="minorEastAsia"/>
          <w:color w:val="000000"/>
          <w:sz w:val="21"/>
          <w:szCs w:val="21"/>
        </w:rPr>
        <w:t>随着我国制造业转型升级，对加工精细度需求不断提升，制造业对高端数控机床的需求持续增长，机博会紧跟行业风向，助力“工业4.0”，助推“中国制造2025”。众多展商携王牌产品闪亮登场，同台竞技。今年机床展区展商阵容较往届上有显著变化，既有马扎克、牧野、埃马克、哈挺、迪恩、津上等国际品牌，还有纽威、宝科、江南、扬森、博达、友龙、捷上同程、久勋、友佳、江苏金诺、华中数控、通大数控、日野精密、德扬、瑞钧、华集、中星、纽瑞格、扬力、汉霸、普鲁特、汉奇、东部、世纪祥通、巨高、中扬、森特威、台群、震声、金仕达、华特、同心数控、铁正、恒望、金石、硕方、永进、乔扬、德力、科普鑫宇、海德玛科、普拉迪、华恩、铭铖等国内品牌强势集结。</w:t>
      </w:r>
    </w:p>
    <w:p>
      <w:pPr>
        <w:pStyle w:val="6"/>
        <w:widowControl/>
        <w:spacing w:beforeAutospacing="0" w:afterAutospacing="0" w:line="300" w:lineRule="auto"/>
        <w:ind w:firstLine="240" w:firstLineChars="100"/>
        <w:jc w:val="both"/>
        <w:rPr>
          <w:rFonts w:ascii="宋体" w:hAnsi="宋体" w:eastAsia="宋体" w:cstheme="minorEastAsia"/>
          <w:color w:val="000000"/>
          <w:sz w:val="21"/>
          <w:szCs w:val="21"/>
        </w:rPr>
      </w:pPr>
      <w:r>
        <w:drawing>
          <wp:inline distT="0" distB="0" distL="0" distR="0">
            <wp:extent cx="2392680" cy="1330960"/>
            <wp:effectExtent l="0" t="0" r="7620" b="2540"/>
            <wp:docPr id="10"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17983" cy="1345520"/>
                    </a:xfrm>
                    <a:prstGeom prst="rect">
                      <a:avLst/>
                    </a:prstGeom>
                    <a:noFill/>
                    <a:ln>
                      <a:noFill/>
                    </a:ln>
                  </pic:spPr>
                </pic:pic>
              </a:graphicData>
            </a:graphic>
          </wp:inline>
        </w:drawing>
      </w:r>
      <w:r>
        <w:rPr>
          <w:rFonts w:hint="eastAsia" w:ascii="宋体" w:hAnsi="宋体" w:eastAsia="宋体" w:cstheme="minorEastAsia"/>
          <w:color w:val="000000"/>
          <w:sz w:val="21"/>
          <w:szCs w:val="21"/>
        </w:rPr>
        <w:t xml:space="preserve"> </w:t>
      </w:r>
      <w:r>
        <w:rPr>
          <w:rFonts w:ascii="宋体" w:hAnsi="宋体" w:eastAsia="宋体" w:cstheme="minorEastAsia"/>
          <w:color w:val="000000"/>
          <w:sz w:val="21"/>
          <w:szCs w:val="21"/>
        </w:rPr>
        <w:t xml:space="preserve"> </w:t>
      </w:r>
      <w:r>
        <w:t xml:space="preserve"> </w:t>
      </w:r>
      <w:r>
        <w:drawing>
          <wp:inline distT="0" distB="0" distL="0" distR="0">
            <wp:extent cx="2004060" cy="1336040"/>
            <wp:effectExtent l="0" t="0" r="0" b="0"/>
            <wp:docPr id="11"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004194" cy="1336129"/>
                    </a:xfrm>
                    <a:prstGeom prst="rect">
                      <a:avLst/>
                    </a:prstGeom>
                    <a:noFill/>
                    <a:ln>
                      <a:noFill/>
                    </a:ln>
                  </pic:spPr>
                </pic:pic>
              </a:graphicData>
            </a:graphic>
          </wp:inline>
        </w:drawing>
      </w:r>
    </w:p>
    <w:p>
      <w:pPr>
        <w:pStyle w:val="6"/>
        <w:widowControl/>
        <w:spacing w:beforeAutospacing="0" w:afterAutospacing="0" w:line="300" w:lineRule="auto"/>
        <w:ind w:firstLine="240" w:firstLineChars="100"/>
        <w:jc w:val="both"/>
        <w:rPr>
          <w:rFonts w:ascii="宋体" w:hAnsi="宋体" w:eastAsia="宋体" w:cstheme="minorEastAsia"/>
          <w:color w:val="000000"/>
          <w:sz w:val="21"/>
          <w:szCs w:val="21"/>
        </w:rPr>
      </w:pPr>
      <w:r>
        <w:drawing>
          <wp:inline distT="0" distB="0" distL="0" distR="0">
            <wp:extent cx="2407920" cy="1351915"/>
            <wp:effectExtent l="0" t="0" r="0" b="635"/>
            <wp:docPr id="12"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27635" cy="1363515"/>
                    </a:xfrm>
                    <a:prstGeom prst="rect">
                      <a:avLst/>
                    </a:prstGeom>
                    <a:noFill/>
                    <a:ln>
                      <a:noFill/>
                    </a:ln>
                  </pic:spPr>
                </pic:pic>
              </a:graphicData>
            </a:graphic>
          </wp:inline>
        </w:drawing>
      </w:r>
      <w:r>
        <w:rPr>
          <w:rFonts w:hint="eastAsia" w:ascii="宋体" w:hAnsi="宋体" w:eastAsia="宋体" w:cstheme="minorEastAsia"/>
          <w:color w:val="000000"/>
          <w:sz w:val="21"/>
          <w:szCs w:val="21"/>
        </w:rPr>
        <w:t xml:space="preserve"> </w:t>
      </w:r>
      <w:r>
        <w:rPr>
          <w:rFonts w:ascii="宋体" w:hAnsi="宋体" w:eastAsia="宋体" w:cstheme="minorEastAsia"/>
          <w:color w:val="000000"/>
          <w:sz w:val="21"/>
          <w:szCs w:val="21"/>
        </w:rPr>
        <w:t xml:space="preserve"> </w:t>
      </w:r>
      <w:r>
        <w:t xml:space="preserve"> </w:t>
      </w:r>
      <w:r>
        <w:drawing>
          <wp:inline distT="0" distB="0" distL="0" distR="0">
            <wp:extent cx="2007870" cy="1338580"/>
            <wp:effectExtent l="0" t="0" r="0" b="0"/>
            <wp:docPr id="13" name="图片 1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08660" cy="1339107"/>
                    </a:xfrm>
                    <a:prstGeom prst="rect">
                      <a:avLst/>
                    </a:prstGeom>
                    <a:noFill/>
                    <a:ln>
                      <a:noFill/>
                    </a:ln>
                  </pic:spPr>
                </pic:pic>
              </a:graphicData>
            </a:graphic>
          </wp:inline>
        </w:drawing>
      </w:r>
    </w:p>
    <w:p>
      <w:pPr>
        <w:pStyle w:val="6"/>
        <w:widowControl/>
        <w:spacing w:beforeAutospacing="0" w:afterAutospacing="0" w:line="300" w:lineRule="auto"/>
        <w:ind w:firstLine="420"/>
        <w:jc w:val="both"/>
        <w:rPr>
          <w:rFonts w:ascii="宋体" w:hAnsi="宋体" w:eastAsia="宋体" w:cstheme="minorEastAsia"/>
          <w:color w:val="000000"/>
          <w:sz w:val="21"/>
          <w:szCs w:val="21"/>
        </w:rPr>
      </w:pPr>
      <w:r>
        <w:rPr>
          <w:rFonts w:hint="eastAsia" w:ascii="宋体" w:hAnsi="宋体" w:eastAsia="宋体" w:cstheme="minorEastAsia"/>
          <w:color w:val="000000"/>
          <w:sz w:val="21"/>
          <w:szCs w:val="21"/>
        </w:rPr>
        <w:t>博达展台展示的价值6</w:t>
      </w:r>
      <w:r>
        <w:rPr>
          <w:rFonts w:ascii="宋体" w:hAnsi="宋体" w:eastAsia="宋体" w:cstheme="minorEastAsia"/>
          <w:color w:val="000000"/>
          <w:sz w:val="21"/>
          <w:szCs w:val="21"/>
        </w:rPr>
        <w:t>00</w:t>
      </w:r>
      <w:r>
        <w:rPr>
          <w:rFonts w:hint="eastAsia" w:ascii="宋体" w:hAnsi="宋体" w:eastAsia="宋体" w:cstheme="minorEastAsia"/>
          <w:color w:val="000000"/>
          <w:sz w:val="21"/>
          <w:szCs w:val="21"/>
        </w:rPr>
        <w:t>多万的意特利SKY 立卧转换加工中心，堪称全场最贵的设备，吸引了众多参观商的驻足与观看。可实现对铝材料高速加工的马扎克VCE-570B L；首次亮相武汉展会的来自牧野武汉工厂生产的高精密立式加工中心；在加工最大长度630mm，最大直径200mm的工件时，都能充分发挥其质量优势的埃马克VT 4-4立式车床；可以同时磨内外圆的哈挺内外圆万能磨床；曾入选“中国智能制造十大科技进展”华中9型新一代智能数控系统“；造型小巧、组装方便，可广泛用用于航空航天、船舶和汽车零部件加工的纽威迷你型数控镗铣机床等等一大批智能装备，，在机博会一亮相，就吸引了不少客户到展台前咨询交流。</w:t>
      </w:r>
    </w:p>
    <w:p>
      <w:pPr>
        <w:widowControl/>
        <w:spacing w:line="300" w:lineRule="auto"/>
        <w:rPr>
          <w:rFonts w:ascii="宋体" w:hAnsi="宋体" w:eastAsia="宋体" w:cstheme="minorEastAsia"/>
          <w:b/>
          <w:kern w:val="0"/>
          <w:szCs w:val="21"/>
          <w:lang w:bidi="ar"/>
        </w:rPr>
      </w:pPr>
      <w:r>
        <w:rPr>
          <w:rFonts w:hint="eastAsia" w:ascii="MS Gothic" w:hAnsi="MS Gothic" w:eastAsia="MS Gothic" w:cs="MS Gothic"/>
          <w:b/>
          <w:kern w:val="0"/>
          <w:szCs w:val="21"/>
          <w:lang w:bidi="ar"/>
        </w:rPr>
        <w:t>✱</w:t>
      </w:r>
      <w:r>
        <w:rPr>
          <w:rFonts w:hint="eastAsia" w:ascii="宋体" w:hAnsi="宋体" w:eastAsia="宋体" w:cs="微软雅黑"/>
          <w:b/>
          <w:kern w:val="0"/>
          <w:szCs w:val="21"/>
          <w:lang w:bidi="ar"/>
        </w:rPr>
        <w:t xml:space="preserve"> 智能化</w:t>
      </w:r>
      <w:r>
        <w:rPr>
          <w:rFonts w:hint="eastAsia" w:ascii="宋体" w:hAnsi="宋体" w:eastAsia="宋体" w:cstheme="minorEastAsia"/>
          <w:b/>
          <w:kern w:val="0"/>
          <w:szCs w:val="21"/>
          <w:lang w:bidi="ar"/>
        </w:rPr>
        <w:t>——</w:t>
      </w:r>
      <w:r>
        <w:rPr>
          <w:rFonts w:ascii="宋体" w:hAnsi="宋体" w:eastAsia="宋体" w:cstheme="minorEastAsia"/>
          <w:b/>
          <w:kern w:val="0"/>
          <w:szCs w:val="21"/>
          <w:lang w:bidi="ar"/>
        </w:rPr>
        <w:t xml:space="preserve">全球“智造”, </w:t>
      </w:r>
      <w:r>
        <w:rPr>
          <w:rFonts w:hint="eastAsia" w:ascii="宋体" w:hAnsi="宋体" w:eastAsia="宋体" w:cstheme="minorEastAsia"/>
          <w:b/>
          <w:kern w:val="0"/>
          <w:szCs w:val="21"/>
          <w:lang w:bidi="ar"/>
        </w:rPr>
        <w:t>智能工厂展区人气爆棚</w:t>
      </w:r>
    </w:p>
    <w:p>
      <w:pPr>
        <w:widowControl/>
        <w:spacing w:line="300" w:lineRule="auto"/>
        <w:ind w:firstLine="420" w:firstLineChars="200"/>
        <w:rPr>
          <w:rFonts w:ascii="宋体" w:hAnsi="宋体" w:eastAsia="宋体" w:cstheme="minorEastAsia"/>
          <w:kern w:val="0"/>
          <w:szCs w:val="21"/>
          <w:lang w:bidi="ar"/>
        </w:rPr>
      </w:pPr>
      <w:r>
        <w:rPr>
          <w:rFonts w:hint="eastAsia" w:ascii="宋体" w:hAnsi="宋体" w:eastAsia="宋体" w:cstheme="minorEastAsia"/>
          <w:kern w:val="0"/>
          <w:szCs w:val="21"/>
          <w:lang w:bidi="ar"/>
        </w:rPr>
        <w:t>推进制造业数字化升级，加快“机器换人”进程，实现规上工业企业智能化改造。在智能工厂展区，触点、云雀、藦卡、奥胜达、博亿精科、诺高、天友、威德诺、比优特、精坐标、科聪、三环精密、台稳精密、卓蓝、艾蓓斯、亚德客、伟尔仕、力夫特、高登等企业集中亮相，同台竞技，尽显制造业前端科技风采！</w:t>
      </w:r>
    </w:p>
    <w:p>
      <w:pPr>
        <w:widowControl/>
        <w:spacing w:line="300" w:lineRule="auto"/>
        <w:ind w:firstLine="210" w:firstLineChars="100"/>
        <w:rPr>
          <w:rFonts w:ascii="宋体" w:hAnsi="宋体" w:eastAsia="宋体" w:cstheme="minorEastAsia"/>
          <w:kern w:val="0"/>
          <w:szCs w:val="21"/>
          <w:lang w:bidi="ar"/>
        </w:rPr>
      </w:pPr>
      <w:r>
        <w:drawing>
          <wp:inline distT="0" distB="0" distL="0" distR="0">
            <wp:extent cx="2407920" cy="1598930"/>
            <wp:effectExtent l="0" t="0" r="0" b="1270"/>
            <wp:docPr id="14" name="图片 1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33818" cy="1616518"/>
                    </a:xfrm>
                    <a:prstGeom prst="rect">
                      <a:avLst/>
                    </a:prstGeom>
                    <a:noFill/>
                    <a:ln>
                      <a:noFill/>
                    </a:ln>
                  </pic:spPr>
                </pic:pic>
              </a:graphicData>
            </a:graphic>
          </wp:inline>
        </w:drawing>
      </w:r>
      <w:r>
        <w:t xml:space="preserve">  </w:t>
      </w:r>
      <w:r>
        <w:drawing>
          <wp:inline distT="0" distB="0" distL="0" distR="0">
            <wp:extent cx="2331720" cy="1554480"/>
            <wp:effectExtent l="0" t="0" r="0" b="7620"/>
            <wp:docPr id="15" name="图片 1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332149" cy="1554766"/>
                    </a:xfrm>
                    <a:prstGeom prst="rect">
                      <a:avLst/>
                    </a:prstGeom>
                    <a:noFill/>
                    <a:ln>
                      <a:noFill/>
                    </a:ln>
                  </pic:spPr>
                </pic:pic>
              </a:graphicData>
            </a:graphic>
          </wp:inline>
        </w:drawing>
      </w:r>
    </w:p>
    <w:p>
      <w:pPr>
        <w:widowControl/>
        <w:spacing w:line="300" w:lineRule="auto"/>
        <w:rPr>
          <w:rFonts w:ascii="MS Gothic" w:hAnsi="MS Gothic" w:cs="MS Gothic"/>
          <w:kern w:val="0"/>
          <w:szCs w:val="21"/>
          <w:lang w:bidi="ar"/>
        </w:rPr>
      </w:pPr>
    </w:p>
    <w:p>
      <w:pPr>
        <w:widowControl/>
        <w:spacing w:line="300" w:lineRule="auto"/>
        <w:rPr>
          <w:rFonts w:ascii="宋体" w:hAnsi="宋体" w:eastAsia="宋体" w:cstheme="minorEastAsia"/>
          <w:kern w:val="0"/>
          <w:szCs w:val="21"/>
          <w:lang w:bidi="ar"/>
        </w:rPr>
      </w:pPr>
      <w:r>
        <w:rPr>
          <w:rFonts w:hint="eastAsia" w:ascii="MS Gothic" w:hAnsi="MS Gothic" w:eastAsia="MS Gothic" w:cs="MS Gothic"/>
          <w:kern w:val="0"/>
          <w:szCs w:val="21"/>
          <w:lang w:bidi="ar"/>
        </w:rPr>
        <w:t>✸</w:t>
      </w:r>
      <w:r>
        <w:rPr>
          <w:rFonts w:hint="eastAsia" w:ascii="宋体" w:hAnsi="宋体" w:eastAsia="宋体" w:cs="宋体"/>
          <w:b/>
          <w:kern w:val="0"/>
          <w:szCs w:val="21"/>
          <w:lang w:bidi="ar"/>
        </w:rPr>
        <w:t>工业化</w:t>
      </w:r>
      <w:r>
        <w:rPr>
          <w:rFonts w:hint="eastAsia" w:ascii="宋体" w:hAnsi="宋体" w:eastAsia="宋体" w:cstheme="minorEastAsia"/>
          <w:b/>
          <w:kern w:val="0"/>
          <w:szCs w:val="21"/>
          <w:lang w:bidi="ar"/>
        </w:rPr>
        <w:t>—— 绿色环保，全自动化的橡塑包装工业展区</w:t>
      </w:r>
    </w:p>
    <w:p>
      <w:pPr>
        <w:widowControl/>
        <w:spacing w:line="300" w:lineRule="auto"/>
        <w:ind w:firstLine="420" w:firstLineChars="200"/>
        <w:jc w:val="left"/>
        <w:rPr>
          <w:rFonts w:ascii="宋体" w:hAnsi="宋体" w:eastAsia="宋体" w:cstheme="minorEastAsia"/>
          <w:color w:val="000000"/>
          <w:kern w:val="0"/>
          <w:szCs w:val="21"/>
          <w:shd w:val="clear" w:color="auto" w:fill="FFFFFF"/>
          <w:lang w:bidi="ar"/>
        </w:rPr>
      </w:pPr>
      <w:r>
        <w:rPr>
          <w:rFonts w:hint="eastAsia" w:ascii="宋体" w:hAnsi="宋体" w:eastAsia="宋体" w:cstheme="minorEastAsia"/>
          <w:color w:val="000000"/>
          <w:kern w:val="0"/>
          <w:szCs w:val="21"/>
          <w:shd w:val="clear" w:color="auto" w:fill="FFFFFF"/>
          <w:lang w:bidi="ar"/>
        </w:rPr>
        <w:t>橡塑及包装展区为塑料成型机械、辅机、模具、原材料、制品等五位一体工业展，集中展示节能环保、绿色可降解、智能生产、个性化定制的核心技术和设备。明国、新发现、恒美、拉古那、新思路、乾鼎、飞达、瑞大、新智特等企业携最新的产品生产线到会展示，吸引来自全国不同包装应用行业的众多专业观众和团体观众驻足观看。特别值得一提的是，拉古那、瑞大、新思路、新发现、恒美等企业展台纸杯/碗机的现场加工，引来了众多食品包装生产企业和中西快餐连锁店供应商的目光。</w:t>
      </w:r>
    </w:p>
    <w:p>
      <w:pPr>
        <w:spacing w:line="300" w:lineRule="auto"/>
        <w:ind w:firstLine="210" w:firstLineChars="100"/>
        <w:rPr>
          <w:rFonts w:ascii="宋体" w:hAnsi="宋体" w:eastAsia="宋体"/>
        </w:rPr>
      </w:pPr>
      <w:r>
        <w:drawing>
          <wp:inline distT="0" distB="0" distL="0" distR="0">
            <wp:extent cx="2308860" cy="1498600"/>
            <wp:effectExtent l="0" t="0" r="0" b="6350"/>
            <wp:docPr id="16" name="图片 1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43162" cy="1520907"/>
                    </a:xfrm>
                    <a:prstGeom prst="rect">
                      <a:avLst/>
                    </a:prstGeom>
                    <a:noFill/>
                    <a:ln>
                      <a:noFill/>
                    </a:ln>
                  </pic:spPr>
                </pic:pic>
              </a:graphicData>
            </a:graphic>
          </wp:inline>
        </w:drawing>
      </w:r>
      <w:r>
        <w:rPr>
          <w:rFonts w:ascii="宋体" w:hAnsi="宋体" w:eastAsia="宋体"/>
        </w:rPr>
        <w:t xml:space="preserve">   </w:t>
      </w:r>
      <w:r>
        <w:drawing>
          <wp:inline distT="0" distB="0" distL="0" distR="0">
            <wp:extent cx="2392680" cy="1521460"/>
            <wp:effectExtent l="0" t="0" r="7620" b="2540"/>
            <wp:docPr id="17" name="图片 1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36707" cy="1549965"/>
                    </a:xfrm>
                    <a:prstGeom prst="rect">
                      <a:avLst/>
                    </a:prstGeom>
                    <a:noFill/>
                    <a:ln>
                      <a:noFill/>
                    </a:ln>
                  </pic:spPr>
                </pic:pic>
              </a:graphicData>
            </a:graphic>
          </wp:inline>
        </w:drawing>
      </w:r>
    </w:p>
    <w:p>
      <w:pPr>
        <w:spacing w:line="300" w:lineRule="auto"/>
        <w:rPr>
          <w:rFonts w:ascii="宋体" w:hAnsi="宋体" w:eastAsia="宋体"/>
          <w:u w:val="single"/>
        </w:rPr>
      </w:pPr>
    </w:p>
    <w:p>
      <w:pPr>
        <w:spacing w:line="300" w:lineRule="auto"/>
        <w:rPr>
          <w:rFonts w:ascii="宋体" w:hAnsi="宋体" w:eastAsia="宋体" w:cstheme="minorEastAsia"/>
          <w:b/>
          <w:bCs/>
          <w:kern w:val="0"/>
          <w:sz w:val="24"/>
          <w:lang w:bidi="ar"/>
        </w:rPr>
      </w:pPr>
      <w:r>
        <w:rPr>
          <w:rFonts w:hint="eastAsia" w:ascii="宋体" w:hAnsi="宋体" w:eastAsia="宋体"/>
          <w:b/>
          <w:bCs/>
          <w:sz w:val="24"/>
        </w:rPr>
        <w:t>二、观众数据分析：</w:t>
      </w:r>
    </w:p>
    <w:p>
      <w:pPr>
        <w:widowControl/>
        <w:spacing w:line="300" w:lineRule="auto"/>
        <w:jc w:val="left"/>
        <w:rPr>
          <w:rFonts w:ascii="宋体" w:hAnsi="宋体" w:eastAsia="宋体" w:cstheme="minorEastAsia"/>
          <w:b/>
          <w:kern w:val="0"/>
          <w:szCs w:val="21"/>
          <w:lang w:bidi="ar"/>
        </w:rPr>
      </w:pPr>
      <w:r>
        <w:rPr>
          <w:rFonts w:ascii="宋体" w:hAnsi="宋体" w:eastAsia="宋体" w:cstheme="minorEastAsia"/>
          <w:b/>
          <w:kern w:val="0"/>
          <w:szCs w:val="21"/>
          <w:lang w:bidi="ar"/>
        </w:rPr>
        <w:t>1</w:t>
      </w:r>
      <w:r>
        <w:rPr>
          <w:rFonts w:hint="eastAsia" w:ascii="宋体" w:hAnsi="宋体" w:eastAsia="宋体" w:cstheme="minorEastAsia"/>
          <w:b/>
          <w:kern w:val="0"/>
          <w:szCs w:val="21"/>
          <w:lang w:bidi="ar"/>
        </w:rPr>
        <w:t xml:space="preserve">.观众地区分析 </w:t>
      </w:r>
    </w:p>
    <w:p>
      <w:pPr>
        <w:widowControl/>
        <w:spacing w:line="300" w:lineRule="auto"/>
        <w:ind w:firstLine="480" w:firstLineChars="200"/>
        <w:jc w:val="left"/>
        <w:rPr>
          <w:rFonts w:ascii="宋体" w:hAnsi="宋体" w:eastAsia="宋体" w:cstheme="minorEastAsia"/>
          <w:kern w:val="0"/>
          <w:szCs w:val="21"/>
          <w:lang w:bidi="ar"/>
        </w:rPr>
      </w:pPr>
      <w:r>
        <w:rPr>
          <w:rFonts w:hint="eastAsia" w:ascii="宋体" w:hAnsi="宋体" w:eastAsia="宋体" w:cstheme="minorEastAsia"/>
          <w:spacing w:val="15"/>
          <w:szCs w:val="21"/>
        </w:rPr>
        <w:t>专业观众地区涵盖二十余个省市及港澳台地区，以湖北省为中心辐射至湖南、河南、江西、安徽、沿海地区等。</w:t>
      </w:r>
    </w:p>
    <w:p>
      <w:pPr>
        <w:widowControl/>
        <w:spacing w:line="300" w:lineRule="auto"/>
        <w:jc w:val="left"/>
        <w:rPr>
          <w:rFonts w:ascii="宋体" w:hAnsi="宋体" w:eastAsia="宋体" w:cstheme="minorEastAsia"/>
          <w:kern w:val="0"/>
          <w:szCs w:val="21"/>
          <w:lang w:bidi="ar"/>
        </w:rPr>
      </w:pPr>
      <w: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4572000" cy="2743200"/>
            <wp:effectExtent l="0" t="0" r="0" b="0"/>
            <wp:wrapSquare wrapText="bothSides"/>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Pr>
          <w:rFonts w:ascii="宋体" w:hAnsi="宋体" w:eastAsia="宋体" w:cstheme="minorEastAsia"/>
          <w:kern w:val="0"/>
          <w:szCs w:val="21"/>
          <w:lang w:bidi="ar"/>
        </w:rPr>
        <w:br w:type="textWrapping" w:clear="all"/>
      </w:r>
    </w:p>
    <w:p>
      <w:r>
        <w:rPr>
          <w:rFonts w:hint="eastAsia"/>
        </w:rPr>
        <w:t>华中</w:t>
      </w:r>
      <w:r>
        <w:tab/>
      </w:r>
      <w:r>
        <w:t xml:space="preserve">    84.62%</w:t>
      </w:r>
      <w:r>
        <w:tab/>
      </w:r>
      <w:r>
        <w:t xml:space="preserve">    11569 </w:t>
      </w:r>
    </w:p>
    <w:p>
      <w:r>
        <w:rPr>
          <w:rFonts w:hint="eastAsia"/>
        </w:rPr>
        <w:t>华东</w:t>
      </w:r>
      <w:r>
        <w:tab/>
      </w:r>
      <w:r>
        <w:t xml:space="preserve">    5.12%</w:t>
      </w:r>
      <w:r>
        <w:tab/>
      </w:r>
      <w:r>
        <w:t xml:space="preserve">    701 </w:t>
      </w:r>
    </w:p>
    <w:p>
      <w:r>
        <w:rPr>
          <w:rFonts w:hint="eastAsia"/>
        </w:rPr>
        <w:t>华南</w:t>
      </w:r>
      <w:r>
        <w:tab/>
      </w:r>
      <w:r>
        <w:t xml:space="preserve">    3.52%</w:t>
      </w:r>
      <w:r>
        <w:tab/>
      </w:r>
      <w:r>
        <w:t xml:space="preserve">    481 </w:t>
      </w:r>
    </w:p>
    <w:p>
      <w:r>
        <w:rPr>
          <w:rFonts w:hint="eastAsia"/>
        </w:rPr>
        <w:t>西南</w:t>
      </w:r>
      <w:r>
        <w:t>/西北</w:t>
      </w:r>
      <w:r>
        <w:tab/>
      </w:r>
      <w:r>
        <w:t>3.19%</w:t>
      </w:r>
      <w:r>
        <w:tab/>
      </w:r>
      <w:r>
        <w:t xml:space="preserve">    436 </w:t>
      </w:r>
    </w:p>
    <w:p>
      <w:r>
        <w:rPr>
          <w:rFonts w:hint="eastAsia"/>
        </w:rPr>
        <w:t>华北</w:t>
      </w:r>
      <w:r>
        <w:t>/东北</w:t>
      </w:r>
      <w:r>
        <w:tab/>
      </w:r>
      <w:r>
        <w:t>2.31%</w:t>
      </w:r>
      <w:r>
        <w:tab/>
      </w:r>
      <w:r>
        <w:t xml:space="preserve">    316 </w:t>
      </w:r>
    </w:p>
    <w:p>
      <w:r>
        <w:rPr>
          <w:rFonts w:hint="eastAsia"/>
        </w:rPr>
        <w:t>国外常驻国内及港澳台</w:t>
      </w:r>
      <w:r>
        <w:tab/>
      </w:r>
      <w:r>
        <w:t>1.24%</w:t>
      </w:r>
      <w:r>
        <w:tab/>
      </w:r>
      <w:r>
        <w:t xml:space="preserve">169 </w:t>
      </w:r>
    </w:p>
    <w:p/>
    <w:p>
      <w:r>
        <w:drawing>
          <wp:inline distT="0" distB="0" distL="0" distR="0">
            <wp:extent cx="4572000" cy="2743200"/>
            <wp:effectExtent l="0" t="0" r="0" b="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
        <w:rPr>
          <w:rFonts w:hint="eastAsia"/>
        </w:rPr>
        <w:t>湖北省</w:t>
      </w:r>
      <w:r>
        <w:tab/>
      </w:r>
      <w:r>
        <w:t xml:space="preserve">     67.41%</w:t>
      </w:r>
      <w:r>
        <w:tab/>
      </w:r>
      <w:r>
        <w:t xml:space="preserve">    9216 </w:t>
      </w:r>
    </w:p>
    <w:p>
      <w:r>
        <w:rPr>
          <w:rFonts w:hint="eastAsia"/>
        </w:rPr>
        <w:t>湖南省</w:t>
      </w:r>
      <w:r>
        <w:tab/>
      </w:r>
      <w:r>
        <w:t xml:space="preserve">     8.36%</w:t>
      </w:r>
      <w:r>
        <w:tab/>
      </w:r>
      <w:r>
        <w:t xml:space="preserve">    1143 </w:t>
      </w:r>
    </w:p>
    <w:p>
      <w:r>
        <w:rPr>
          <w:rFonts w:hint="eastAsia"/>
        </w:rPr>
        <w:t>河南省</w:t>
      </w:r>
      <w:r>
        <w:tab/>
      </w:r>
      <w:r>
        <w:t xml:space="preserve">     7.11%</w:t>
      </w:r>
      <w:r>
        <w:tab/>
      </w:r>
      <w:r>
        <w:t xml:space="preserve">    972 </w:t>
      </w:r>
    </w:p>
    <w:p>
      <w:r>
        <w:rPr>
          <w:rFonts w:hint="eastAsia"/>
        </w:rPr>
        <w:t>江西省</w:t>
      </w:r>
      <w:r>
        <w:tab/>
      </w:r>
      <w:r>
        <w:t xml:space="preserve">     3.56%</w:t>
      </w:r>
      <w:r>
        <w:tab/>
      </w:r>
      <w:r>
        <w:t xml:space="preserve">    487 </w:t>
      </w:r>
    </w:p>
    <w:p>
      <w:r>
        <w:rPr>
          <w:rFonts w:hint="eastAsia"/>
        </w:rPr>
        <w:t>安徽省</w:t>
      </w:r>
      <w:r>
        <w:tab/>
      </w:r>
      <w:r>
        <w:t xml:space="preserve">     3.13%</w:t>
      </w:r>
      <w:r>
        <w:tab/>
      </w:r>
      <w:r>
        <w:t xml:space="preserve">    428 </w:t>
      </w:r>
    </w:p>
    <w:p>
      <w:r>
        <w:rPr>
          <w:rFonts w:hint="eastAsia"/>
        </w:rPr>
        <w:t>沿海地区（上海、江苏、浙江、广东）</w:t>
      </w:r>
      <w:r>
        <w:tab/>
      </w:r>
      <w:r>
        <w:t>5.97%</w:t>
      </w:r>
      <w:r>
        <w:tab/>
      </w:r>
      <w:r>
        <w:t xml:space="preserve">816 </w:t>
      </w:r>
    </w:p>
    <w:p>
      <w:r>
        <w:rPr>
          <w:rFonts w:hint="eastAsia"/>
        </w:rPr>
        <w:t>港澳台及国外常驻国内</w:t>
      </w:r>
      <w:r>
        <w:tab/>
      </w:r>
      <w:r>
        <w:t>1.24%</w:t>
      </w:r>
      <w:r>
        <w:tab/>
      </w:r>
      <w:r>
        <w:t xml:space="preserve">169 </w:t>
      </w:r>
    </w:p>
    <w:p>
      <w:r>
        <w:rPr>
          <w:rFonts w:hint="eastAsia"/>
        </w:rPr>
        <w:t>其他</w:t>
      </w:r>
      <w:r>
        <w:tab/>
      </w:r>
      <w:r>
        <w:t xml:space="preserve">     3.22%</w:t>
      </w:r>
      <w:r>
        <w:tab/>
      </w:r>
      <w:r>
        <w:t xml:space="preserve">    441</w:t>
      </w:r>
    </w:p>
    <w:p>
      <w:pPr>
        <w:widowControl/>
        <w:spacing w:line="300" w:lineRule="auto"/>
        <w:jc w:val="left"/>
        <w:rPr>
          <w:rFonts w:ascii="宋体" w:hAnsi="宋体" w:eastAsia="宋体" w:cstheme="minorEastAsia"/>
          <w:b/>
          <w:kern w:val="0"/>
          <w:szCs w:val="21"/>
          <w:lang w:bidi="ar"/>
        </w:rPr>
      </w:pPr>
      <w:r>
        <w:rPr>
          <w:rFonts w:ascii="宋体" w:hAnsi="宋体" w:eastAsia="宋体" w:cstheme="minorEastAsia"/>
          <w:b/>
          <w:kern w:val="0"/>
          <w:szCs w:val="21"/>
          <w:lang w:bidi="ar"/>
        </w:rPr>
        <w:t>2</w:t>
      </w:r>
      <w:r>
        <w:rPr>
          <w:rFonts w:hint="eastAsia" w:ascii="宋体" w:hAnsi="宋体" w:eastAsia="宋体" w:cstheme="minorEastAsia"/>
          <w:b/>
          <w:kern w:val="0"/>
          <w:szCs w:val="21"/>
          <w:lang w:bidi="ar"/>
        </w:rPr>
        <w:t>.观众所在行业</w:t>
      </w:r>
    </w:p>
    <w:p>
      <w:pPr>
        <w:widowControl/>
        <w:spacing w:line="300" w:lineRule="auto"/>
        <w:ind w:firstLine="420" w:firstLineChars="200"/>
        <w:jc w:val="left"/>
        <w:rPr>
          <w:rFonts w:ascii="宋体" w:hAnsi="宋体" w:eastAsia="宋体" w:cstheme="minorEastAsia"/>
          <w:szCs w:val="21"/>
        </w:rPr>
      </w:pPr>
      <w:r>
        <w:rPr>
          <w:rFonts w:hint="eastAsia" w:ascii="宋体" w:hAnsi="宋体" w:eastAsia="宋体" w:cstheme="minorEastAsia"/>
          <w:szCs w:val="21"/>
        </w:rPr>
        <w:t>参观展会的企业行业，以汽车、摩托车及零部件企业最多，占到总数的</w:t>
      </w:r>
      <w:r>
        <w:rPr>
          <w:rFonts w:ascii="宋体" w:hAnsi="宋体" w:eastAsia="宋体" w:cs="Calibri"/>
        </w:rPr>
        <w:t>23.42%</w:t>
      </w:r>
      <w:r>
        <w:rPr>
          <w:rFonts w:hint="eastAsia" w:ascii="宋体" w:hAnsi="宋体" w:eastAsia="宋体" w:cstheme="minorEastAsia"/>
          <w:szCs w:val="21"/>
        </w:rPr>
        <w:t>，其次为机械制造（机床及通用件），占15.56%。此外，电子通讯、模具、船舶、钢铁、铁路、农机、轻工、橡塑包装、工程机械、国防军工、航空航天、生物医药、家电等制造行业均有涉及。</w:t>
      </w:r>
    </w:p>
    <w:p>
      <w:pPr>
        <w:widowControl/>
        <w:spacing w:line="300" w:lineRule="auto"/>
        <w:jc w:val="left"/>
        <w:rPr>
          <w:rFonts w:ascii="宋体" w:hAnsi="宋体" w:eastAsia="宋体" w:cstheme="minorEastAsia"/>
          <w:szCs w:val="21"/>
        </w:rPr>
      </w:pPr>
    </w:p>
    <w:p>
      <w:pPr>
        <w:widowControl/>
        <w:spacing w:line="300" w:lineRule="auto"/>
        <w:jc w:val="left"/>
        <w:rPr>
          <w:rFonts w:ascii="宋体" w:hAnsi="宋体" w:eastAsia="宋体" w:cstheme="minorEastAsia"/>
          <w:szCs w:val="21"/>
        </w:rPr>
      </w:pPr>
      <w:r>
        <w:drawing>
          <wp:inline distT="0" distB="0" distL="0" distR="0">
            <wp:extent cx="4975860" cy="4362450"/>
            <wp:effectExtent l="0" t="0" r="1524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widowControl/>
        <w:spacing w:line="300" w:lineRule="auto"/>
        <w:jc w:val="left"/>
        <w:rPr>
          <w:rFonts w:ascii="宋体" w:hAnsi="宋体" w:eastAsia="宋体" w:cstheme="minorEastAsia"/>
          <w:kern w:val="0"/>
          <w:szCs w:val="21"/>
          <w:lang w:bidi="ar"/>
        </w:rPr>
      </w:pPr>
    </w:p>
    <w:p>
      <w:r>
        <w:rPr>
          <w:rFonts w:hint="eastAsia"/>
        </w:rPr>
        <w:t>汽车、摩托车及零部件</w:t>
      </w:r>
      <w:r>
        <w:tab/>
      </w:r>
      <w:r>
        <w:t xml:space="preserve">        23.42%</w:t>
      </w:r>
    </w:p>
    <w:p>
      <w:r>
        <w:rPr>
          <w:rFonts w:hint="eastAsia"/>
        </w:rPr>
        <w:t>机械制造（机床及通用件）</w:t>
      </w:r>
      <w:r>
        <w:tab/>
      </w:r>
      <w:r>
        <w:t xml:space="preserve">    15.56%</w:t>
      </w:r>
    </w:p>
    <w:p>
      <w:r>
        <w:rPr>
          <w:rFonts w:hint="eastAsia"/>
        </w:rPr>
        <w:t>电子通讯、</w:t>
      </w:r>
      <w:r>
        <w:t xml:space="preserve">IT、OA </w:t>
      </w:r>
      <w:r>
        <w:tab/>
      </w:r>
      <w:r>
        <w:t xml:space="preserve">            6.27%</w:t>
      </w:r>
    </w:p>
    <w:p>
      <w:r>
        <w:rPr>
          <w:rFonts w:hint="eastAsia"/>
        </w:rPr>
        <w:t>模具、模具制造及加工</w:t>
      </w:r>
      <w:r>
        <w:tab/>
      </w:r>
      <w:r>
        <w:t xml:space="preserve">        5.58%</w:t>
      </w:r>
    </w:p>
    <w:p>
      <w:r>
        <w:rPr>
          <w:rFonts w:hint="eastAsia"/>
        </w:rPr>
        <w:t>船舶、钢铁</w:t>
      </w:r>
      <w:r>
        <w:tab/>
      </w:r>
      <w:r>
        <w:t xml:space="preserve">                    2.67%</w:t>
      </w:r>
    </w:p>
    <w:p>
      <w:r>
        <w:rPr>
          <w:rFonts w:hint="eastAsia"/>
        </w:rPr>
        <w:t>铁路、农机等制造</w:t>
      </w:r>
      <w:r>
        <w:tab/>
      </w:r>
      <w:r>
        <w:t xml:space="preserve">            2.46%</w:t>
      </w:r>
    </w:p>
    <w:p>
      <w:r>
        <w:rPr>
          <w:rFonts w:hint="eastAsia"/>
        </w:rPr>
        <w:t>轻工机械、纺织机械</w:t>
      </w:r>
      <w:r>
        <w:tab/>
      </w:r>
      <w:r>
        <w:t xml:space="preserve">            2.25%</w:t>
      </w:r>
    </w:p>
    <w:p>
      <w:r>
        <w:rPr>
          <w:rFonts w:hint="eastAsia"/>
        </w:rPr>
        <w:t>包装工业、塑料塑胶、印刷</w:t>
      </w:r>
      <w:r>
        <w:tab/>
      </w:r>
      <w:r>
        <w:t xml:space="preserve">    5.86%</w:t>
      </w:r>
    </w:p>
    <w:p>
      <w:r>
        <w:rPr>
          <w:rFonts w:hint="eastAsia"/>
        </w:rPr>
        <w:t>工程机械</w:t>
      </w:r>
      <w:r>
        <w:tab/>
      </w:r>
      <w:r>
        <w:t xml:space="preserve">                    3.34%</w:t>
      </w:r>
    </w:p>
    <w:p>
      <w:r>
        <w:rPr>
          <w:rFonts w:hint="eastAsia"/>
        </w:rPr>
        <w:t>航空航天</w:t>
      </w:r>
      <w:r>
        <w:tab/>
      </w:r>
      <w:r>
        <w:t xml:space="preserve">                    2.21%</w:t>
      </w:r>
    </w:p>
    <w:p>
      <w:r>
        <w:rPr>
          <w:rFonts w:hint="eastAsia"/>
        </w:rPr>
        <w:t>生物制药、医疗器械、医疗用品</w:t>
      </w:r>
      <w:r>
        <w:tab/>
      </w:r>
      <w:r>
        <w:t>3.54%</w:t>
      </w:r>
    </w:p>
    <w:p>
      <w:r>
        <w:rPr>
          <w:rFonts w:hint="eastAsia"/>
        </w:rPr>
        <w:t>电气、电力、新能源</w:t>
      </w:r>
      <w:r>
        <w:tab/>
      </w:r>
      <w:r>
        <w:t xml:space="preserve">            2.84%</w:t>
      </w:r>
    </w:p>
    <w:p>
      <w:r>
        <w:rPr>
          <w:rFonts w:hint="eastAsia"/>
        </w:rPr>
        <w:t>仪表、仪器</w:t>
      </w:r>
      <w:r>
        <w:tab/>
      </w:r>
      <w:r>
        <w:t xml:space="preserve">                    3.89%</w:t>
      </w:r>
    </w:p>
    <w:p>
      <w:r>
        <w:rPr>
          <w:rFonts w:hint="eastAsia"/>
        </w:rPr>
        <w:t>院校</w:t>
      </w:r>
      <w:r>
        <w:t xml:space="preserve"> 、科研机构</w:t>
      </w:r>
      <w:r>
        <w:tab/>
      </w:r>
      <w:r>
        <w:t xml:space="preserve">                4.47%</w:t>
      </w:r>
    </w:p>
    <w:p>
      <w:r>
        <w:rPr>
          <w:rFonts w:hint="eastAsia"/>
        </w:rPr>
        <w:t>国防军工</w:t>
      </w:r>
      <w:r>
        <w:tab/>
      </w:r>
      <w:r>
        <w:t xml:space="preserve">                    1.55%</w:t>
      </w:r>
    </w:p>
    <w:p>
      <w:r>
        <w:rPr>
          <w:rFonts w:hint="eastAsia"/>
        </w:rPr>
        <w:t>家用电器</w:t>
      </w:r>
      <w:r>
        <w:tab/>
      </w:r>
      <w:r>
        <w:t xml:space="preserve">                    4.34%</w:t>
      </w:r>
    </w:p>
    <w:p>
      <w:r>
        <w:rPr>
          <w:rFonts w:hint="eastAsia"/>
        </w:rPr>
        <w:t>办公用品、玩具、日用品</w:t>
      </w:r>
      <w:r>
        <w:tab/>
      </w:r>
      <w:r>
        <w:t xml:space="preserve">        1.14%</w:t>
      </w:r>
    </w:p>
    <w:p>
      <w:r>
        <w:rPr>
          <w:rFonts w:hint="eastAsia"/>
        </w:rPr>
        <w:t>政府部门</w:t>
      </w:r>
      <w:r>
        <w:tab/>
      </w:r>
      <w:r>
        <w:t xml:space="preserve">                    0.64%</w:t>
      </w:r>
    </w:p>
    <w:p>
      <w:r>
        <w:rPr>
          <w:rFonts w:hint="eastAsia"/>
        </w:rPr>
        <w:t>其他</w:t>
      </w:r>
      <w:r>
        <w:tab/>
      </w:r>
      <w:r>
        <w:t xml:space="preserve">                        7.97%</w:t>
      </w:r>
    </w:p>
    <w:p>
      <w:pPr>
        <w:widowControl/>
        <w:spacing w:line="300" w:lineRule="auto"/>
        <w:jc w:val="left"/>
        <w:rPr>
          <w:rFonts w:ascii="宋体" w:hAnsi="宋体" w:eastAsia="宋体" w:cstheme="minorEastAsia"/>
          <w:color w:val="FF0000"/>
          <w:kern w:val="0"/>
          <w:szCs w:val="21"/>
          <w:lang w:bidi="ar"/>
        </w:rPr>
      </w:pPr>
    </w:p>
    <w:p>
      <w:pPr>
        <w:widowControl/>
        <w:spacing w:line="300" w:lineRule="auto"/>
        <w:jc w:val="left"/>
        <w:rPr>
          <w:rFonts w:ascii="宋体" w:hAnsi="宋体" w:eastAsia="宋体" w:cstheme="minorEastAsia"/>
          <w:b/>
          <w:kern w:val="0"/>
          <w:szCs w:val="21"/>
          <w:lang w:bidi="ar"/>
        </w:rPr>
      </w:pPr>
      <w:r>
        <w:rPr>
          <w:rFonts w:ascii="宋体" w:hAnsi="宋体" w:eastAsia="宋体" w:cstheme="minorEastAsia"/>
          <w:b/>
          <w:kern w:val="0"/>
          <w:szCs w:val="21"/>
          <w:lang w:bidi="ar"/>
        </w:rPr>
        <w:t>3.</w:t>
      </w:r>
      <w:r>
        <w:rPr>
          <w:rFonts w:hint="eastAsia" w:ascii="宋体" w:hAnsi="宋体" w:eastAsia="宋体" w:cstheme="minorEastAsia"/>
          <w:b/>
          <w:kern w:val="0"/>
          <w:szCs w:val="21"/>
          <w:lang w:bidi="ar"/>
        </w:rPr>
        <w:t>参观企业性质</w:t>
      </w:r>
    </w:p>
    <w:p>
      <w:pPr>
        <w:widowControl/>
        <w:spacing w:line="300" w:lineRule="auto"/>
        <w:ind w:firstLine="420" w:firstLineChars="200"/>
        <w:jc w:val="left"/>
        <w:rPr>
          <w:rFonts w:ascii="宋体" w:hAnsi="宋体" w:eastAsia="宋体"/>
        </w:rPr>
      </w:pPr>
      <w:r>
        <w:rPr>
          <w:rFonts w:hint="eastAsia" w:ascii="宋体" w:hAnsi="宋体" w:eastAsia="宋体"/>
        </w:rPr>
        <w:t>据展会组委会统计，本次展会参观企业达6</w:t>
      </w:r>
      <w:r>
        <w:rPr>
          <w:rFonts w:ascii="宋体" w:hAnsi="宋体" w:eastAsia="宋体"/>
        </w:rPr>
        <w:t>341</w:t>
      </w:r>
      <w:r>
        <w:rPr>
          <w:rFonts w:hint="eastAsia" w:ascii="宋体" w:hAnsi="宋体" w:eastAsia="宋体"/>
        </w:rPr>
        <w:t>家，从企业性质总数量占比来看，生产制造企业占7</w:t>
      </w:r>
      <w:r>
        <w:rPr>
          <w:rFonts w:ascii="宋体" w:hAnsi="宋体" w:eastAsia="宋体"/>
        </w:rPr>
        <w:t>5</w:t>
      </w:r>
      <w:r>
        <w:rPr>
          <w:rFonts w:hint="eastAsia" w:ascii="宋体" w:hAnsi="宋体" w:eastAsia="宋体"/>
        </w:rPr>
        <w:t>.</w:t>
      </w:r>
      <w:r>
        <w:rPr>
          <w:rFonts w:ascii="宋体" w:hAnsi="宋体" w:eastAsia="宋体"/>
        </w:rPr>
        <w:t>3</w:t>
      </w:r>
      <w:r>
        <w:rPr>
          <w:rFonts w:hint="eastAsia" w:ascii="宋体" w:hAnsi="宋体" w:eastAsia="宋体"/>
        </w:rPr>
        <w:t>1%，经营（经销、代理、贸易）企业占2</w:t>
      </w:r>
      <w:r>
        <w:rPr>
          <w:rFonts w:ascii="宋体" w:hAnsi="宋体" w:eastAsia="宋体"/>
        </w:rPr>
        <w:t>4</w:t>
      </w:r>
      <w:r>
        <w:rPr>
          <w:rFonts w:hint="eastAsia" w:ascii="宋体" w:hAnsi="宋体" w:eastAsia="宋体"/>
        </w:rPr>
        <w:t>.</w:t>
      </w:r>
      <w:r>
        <w:rPr>
          <w:rFonts w:ascii="宋体" w:hAnsi="宋体" w:eastAsia="宋体"/>
        </w:rPr>
        <w:t>69</w:t>
      </w:r>
      <w:r>
        <w:rPr>
          <w:rFonts w:hint="eastAsia" w:ascii="宋体" w:hAnsi="宋体" w:eastAsia="宋体"/>
        </w:rPr>
        <w:t>%，两者合计占100%。由此可以看出，在参观企业中，以生产制造企业为主，占比较大。</w:t>
      </w:r>
    </w:p>
    <w:p>
      <w:pPr>
        <w:widowControl/>
        <w:spacing w:line="300" w:lineRule="auto"/>
        <w:jc w:val="left"/>
        <w:rPr>
          <w:rFonts w:ascii="宋体" w:hAnsi="宋体" w:eastAsia="宋体"/>
        </w:rPr>
      </w:pPr>
      <w:r>
        <w:drawing>
          <wp:inline distT="0" distB="0" distL="0" distR="0">
            <wp:extent cx="4572000" cy="2743200"/>
            <wp:effectExtent l="0" t="0" r="0" b="0"/>
            <wp:docPr id="46" name="图表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widowControl/>
        <w:spacing w:line="300" w:lineRule="auto"/>
        <w:jc w:val="left"/>
        <w:rPr>
          <w:rFonts w:ascii="宋体" w:hAnsi="宋体" w:eastAsia="宋体"/>
        </w:rPr>
      </w:pPr>
      <w:r>
        <w:rPr>
          <w:rFonts w:hint="eastAsia" w:ascii="宋体" w:hAnsi="宋体" w:eastAsia="宋体"/>
        </w:rPr>
        <w:t>1、生产制造</w:t>
      </w:r>
      <w:r>
        <w:rPr>
          <w:rFonts w:hint="eastAsia" w:ascii="宋体" w:hAnsi="宋体" w:eastAsia="宋体"/>
        </w:rPr>
        <w:tab/>
      </w:r>
      <w:r>
        <w:rPr>
          <w:rFonts w:ascii="宋体" w:hAnsi="宋体" w:eastAsia="宋体"/>
        </w:rPr>
        <w:t>75.31</w:t>
      </w:r>
      <w:r>
        <w:rPr>
          <w:rFonts w:hint="eastAsia" w:ascii="宋体" w:hAnsi="宋体" w:eastAsia="宋体"/>
        </w:rPr>
        <w:t>%</w:t>
      </w:r>
    </w:p>
    <w:p>
      <w:pPr>
        <w:widowControl/>
        <w:spacing w:line="300" w:lineRule="auto"/>
        <w:jc w:val="left"/>
        <w:rPr>
          <w:rFonts w:ascii="宋体" w:hAnsi="宋体" w:eastAsia="宋体"/>
        </w:rPr>
      </w:pPr>
      <w:r>
        <w:rPr>
          <w:rFonts w:hint="eastAsia" w:ascii="宋体" w:hAnsi="宋体" w:eastAsia="宋体"/>
        </w:rPr>
        <w:t>2、经营（经销、代理、贸易）</w:t>
      </w:r>
      <w:r>
        <w:rPr>
          <w:rFonts w:ascii="宋体" w:hAnsi="宋体" w:eastAsia="宋体"/>
        </w:rPr>
        <w:t>24.69</w:t>
      </w:r>
      <w:r>
        <w:rPr>
          <w:rFonts w:hint="eastAsia" w:ascii="宋体" w:hAnsi="宋体" w:eastAsia="宋体"/>
        </w:rPr>
        <w:t>%</w:t>
      </w:r>
    </w:p>
    <w:p>
      <w:pPr>
        <w:widowControl/>
        <w:spacing w:line="300" w:lineRule="auto"/>
        <w:jc w:val="left"/>
        <w:rPr>
          <w:rFonts w:ascii="宋体" w:hAnsi="宋体" w:eastAsia="宋体"/>
        </w:rPr>
      </w:pPr>
    </w:p>
    <w:p>
      <w:pPr>
        <w:widowControl/>
        <w:spacing w:line="300" w:lineRule="auto"/>
        <w:jc w:val="left"/>
        <w:rPr>
          <w:rFonts w:ascii="宋体" w:hAnsi="宋体" w:eastAsia="宋体"/>
        </w:rPr>
      </w:pPr>
    </w:p>
    <w:p>
      <w:pPr>
        <w:widowControl/>
        <w:spacing w:line="300" w:lineRule="auto"/>
        <w:jc w:val="left"/>
        <w:rPr>
          <w:rFonts w:ascii="宋体" w:hAnsi="宋体" w:eastAsia="宋体"/>
          <w:b/>
        </w:rPr>
      </w:pPr>
      <w:r>
        <w:rPr>
          <w:rFonts w:hint="eastAsia" w:ascii="宋体" w:hAnsi="宋体" w:eastAsia="宋体"/>
          <w:b/>
        </w:rPr>
        <w:t>观众职能分析</w:t>
      </w:r>
    </w:p>
    <w:p>
      <w:pPr>
        <w:widowControl/>
        <w:spacing w:line="300" w:lineRule="auto"/>
        <w:jc w:val="left"/>
        <w:rPr>
          <w:rFonts w:ascii="宋体" w:hAnsi="宋体" w:eastAsia="宋体"/>
        </w:rPr>
      </w:pPr>
      <w:r>
        <w:drawing>
          <wp:inline distT="0" distB="0" distL="0" distR="0">
            <wp:extent cx="4572000" cy="2743200"/>
            <wp:effectExtent l="0" t="0" r="0" b="0"/>
            <wp:docPr id="47" name="图表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widowControl/>
        <w:spacing w:line="300" w:lineRule="auto"/>
        <w:jc w:val="left"/>
        <w:rPr>
          <w:rFonts w:ascii="宋体" w:hAnsi="宋体" w:eastAsia="宋体"/>
        </w:rPr>
        <w:sectPr>
          <w:pgSz w:w="11906" w:h="16838"/>
          <w:pgMar w:top="1440" w:right="1800" w:bottom="1440" w:left="1800" w:header="851" w:footer="992" w:gutter="0"/>
          <w:cols w:space="425" w:num="1"/>
          <w:docGrid w:type="lines" w:linePitch="312" w:charSpace="0"/>
        </w:sectPr>
      </w:pPr>
    </w:p>
    <w:p>
      <w:pPr>
        <w:widowControl/>
        <w:spacing w:line="300" w:lineRule="auto"/>
        <w:jc w:val="left"/>
        <w:rPr>
          <w:rFonts w:ascii="宋体" w:hAnsi="宋体" w:eastAsia="宋体"/>
        </w:rPr>
      </w:pPr>
      <w:r>
        <w:rPr>
          <w:rFonts w:hint="eastAsia" w:ascii="宋体" w:hAnsi="宋体" w:eastAsia="宋体"/>
        </w:rPr>
        <w:t>生产</w:t>
      </w:r>
      <w:r>
        <w:rPr>
          <w:rFonts w:hint="eastAsia" w:ascii="宋体" w:hAnsi="宋体" w:eastAsia="宋体"/>
        </w:rPr>
        <w:tab/>
      </w:r>
      <w:r>
        <w:rPr>
          <w:rFonts w:hint="eastAsia" w:ascii="宋体" w:hAnsi="宋体" w:eastAsia="宋体"/>
        </w:rPr>
        <w:t>25%</w:t>
      </w:r>
    </w:p>
    <w:p>
      <w:pPr>
        <w:widowControl/>
        <w:spacing w:line="300" w:lineRule="auto"/>
        <w:jc w:val="left"/>
        <w:rPr>
          <w:rFonts w:ascii="宋体" w:hAnsi="宋体" w:eastAsia="宋体"/>
        </w:rPr>
      </w:pPr>
      <w:r>
        <w:rPr>
          <w:rFonts w:hint="eastAsia" w:ascii="宋体" w:hAnsi="宋体" w:eastAsia="宋体"/>
        </w:rPr>
        <w:t>管理</w:t>
      </w:r>
      <w:r>
        <w:rPr>
          <w:rFonts w:hint="eastAsia" w:ascii="宋体" w:hAnsi="宋体" w:eastAsia="宋体"/>
        </w:rPr>
        <w:tab/>
      </w:r>
      <w:r>
        <w:rPr>
          <w:rFonts w:hint="eastAsia" w:ascii="宋体" w:hAnsi="宋体" w:eastAsia="宋体"/>
        </w:rPr>
        <w:t>22%</w:t>
      </w:r>
    </w:p>
    <w:p>
      <w:pPr>
        <w:widowControl/>
        <w:spacing w:line="300" w:lineRule="auto"/>
        <w:jc w:val="left"/>
        <w:rPr>
          <w:rFonts w:ascii="宋体" w:hAnsi="宋体" w:eastAsia="宋体"/>
        </w:rPr>
      </w:pPr>
      <w:r>
        <w:rPr>
          <w:rFonts w:hint="eastAsia" w:ascii="宋体" w:hAnsi="宋体" w:eastAsia="宋体"/>
        </w:rPr>
        <w:t>采购</w:t>
      </w:r>
      <w:r>
        <w:rPr>
          <w:rFonts w:hint="eastAsia" w:ascii="宋体" w:hAnsi="宋体" w:eastAsia="宋体"/>
        </w:rPr>
        <w:tab/>
      </w:r>
      <w:r>
        <w:rPr>
          <w:rFonts w:hint="eastAsia" w:ascii="宋体" w:hAnsi="宋体" w:eastAsia="宋体"/>
        </w:rPr>
        <w:t>18%</w:t>
      </w:r>
    </w:p>
    <w:p>
      <w:pPr>
        <w:widowControl/>
        <w:spacing w:line="300" w:lineRule="auto"/>
        <w:jc w:val="left"/>
        <w:rPr>
          <w:rFonts w:ascii="宋体" w:hAnsi="宋体" w:eastAsia="宋体"/>
        </w:rPr>
      </w:pPr>
      <w:r>
        <w:rPr>
          <w:rFonts w:hint="eastAsia" w:ascii="宋体" w:hAnsi="宋体" w:eastAsia="宋体"/>
        </w:rPr>
        <w:t>市场</w:t>
      </w:r>
      <w:r>
        <w:rPr>
          <w:rFonts w:hint="eastAsia" w:ascii="宋体" w:hAnsi="宋体" w:eastAsia="宋体"/>
        </w:rPr>
        <w:tab/>
      </w:r>
      <w:r>
        <w:rPr>
          <w:rFonts w:hint="eastAsia" w:ascii="宋体" w:hAnsi="宋体" w:eastAsia="宋体"/>
        </w:rPr>
        <w:t>13%</w:t>
      </w:r>
    </w:p>
    <w:p>
      <w:pPr>
        <w:widowControl/>
        <w:spacing w:line="300" w:lineRule="auto"/>
        <w:jc w:val="left"/>
        <w:rPr>
          <w:rFonts w:ascii="宋体" w:hAnsi="宋体" w:eastAsia="宋体"/>
        </w:rPr>
      </w:pPr>
      <w:r>
        <w:rPr>
          <w:rFonts w:hint="eastAsia" w:ascii="宋体" w:hAnsi="宋体" w:eastAsia="宋体"/>
        </w:rPr>
        <w:t>销售</w:t>
      </w:r>
      <w:r>
        <w:rPr>
          <w:rFonts w:hint="eastAsia" w:ascii="宋体" w:hAnsi="宋体" w:eastAsia="宋体"/>
        </w:rPr>
        <w:tab/>
      </w:r>
      <w:r>
        <w:rPr>
          <w:rFonts w:hint="eastAsia" w:ascii="宋体" w:hAnsi="宋体" w:eastAsia="宋体"/>
        </w:rPr>
        <w:t>10%</w:t>
      </w:r>
    </w:p>
    <w:p>
      <w:pPr>
        <w:widowControl/>
        <w:spacing w:line="300" w:lineRule="auto"/>
        <w:jc w:val="left"/>
        <w:rPr>
          <w:rFonts w:ascii="宋体" w:hAnsi="宋体" w:eastAsia="宋体"/>
        </w:rPr>
      </w:pPr>
      <w:r>
        <w:rPr>
          <w:rFonts w:hint="eastAsia" w:ascii="宋体" w:hAnsi="宋体" w:eastAsia="宋体"/>
        </w:rPr>
        <w:t>研发</w:t>
      </w:r>
      <w:r>
        <w:rPr>
          <w:rFonts w:hint="eastAsia" w:ascii="宋体" w:hAnsi="宋体" w:eastAsia="宋体"/>
        </w:rPr>
        <w:tab/>
      </w:r>
      <w:r>
        <w:rPr>
          <w:rFonts w:hint="eastAsia" w:ascii="宋体" w:hAnsi="宋体" w:eastAsia="宋体"/>
        </w:rPr>
        <w:t>8%</w:t>
      </w:r>
    </w:p>
    <w:p>
      <w:pPr>
        <w:widowControl/>
        <w:spacing w:line="300" w:lineRule="auto"/>
        <w:jc w:val="left"/>
        <w:rPr>
          <w:rFonts w:ascii="宋体" w:hAnsi="宋体" w:eastAsia="宋体"/>
        </w:rPr>
      </w:pPr>
      <w:r>
        <w:rPr>
          <w:rFonts w:hint="eastAsia" w:ascii="宋体" w:hAnsi="宋体" w:eastAsia="宋体"/>
        </w:rPr>
        <w:t>其他</w:t>
      </w:r>
      <w:r>
        <w:rPr>
          <w:rFonts w:hint="eastAsia" w:ascii="宋体" w:hAnsi="宋体" w:eastAsia="宋体"/>
        </w:rPr>
        <w:tab/>
      </w:r>
      <w:r>
        <w:rPr>
          <w:rFonts w:hint="eastAsia" w:ascii="宋体" w:hAnsi="宋体" w:eastAsia="宋体"/>
        </w:rPr>
        <w:t>4%</w:t>
      </w:r>
    </w:p>
    <w:p>
      <w:pPr>
        <w:widowControl/>
        <w:spacing w:line="300" w:lineRule="auto"/>
        <w:jc w:val="left"/>
        <w:rPr>
          <w:rFonts w:ascii="宋体" w:hAnsi="宋体" w:eastAsia="宋体" w:cstheme="minorEastAsia"/>
          <w:kern w:val="0"/>
          <w:szCs w:val="21"/>
          <w:lang w:bidi="ar"/>
        </w:rPr>
        <w:sectPr>
          <w:type w:val="continuous"/>
          <w:pgSz w:w="11906" w:h="16838"/>
          <w:pgMar w:top="1440" w:right="1800" w:bottom="1440" w:left="1800" w:header="851" w:footer="992" w:gutter="0"/>
          <w:cols w:space="425" w:num="2"/>
          <w:docGrid w:type="lines" w:linePitch="312" w:charSpace="0"/>
        </w:sectPr>
      </w:pPr>
    </w:p>
    <w:p>
      <w:pPr>
        <w:widowControl/>
        <w:spacing w:line="300" w:lineRule="auto"/>
        <w:jc w:val="left"/>
        <w:rPr>
          <w:rFonts w:ascii="宋体" w:hAnsi="宋体" w:eastAsia="宋体" w:cstheme="minorEastAsia"/>
          <w:b/>
          <w:kern w:val="0"/>
          <w:szCs w:val="21"/>
          <w:lang w:bidi="ar"/>
        </w:rPr>
      </w:pPr>
      <w:r>
        <w:rPr>
          <w:rFonts w:ascii="宋体" w:hAnsi="宋体" w:eastAsia="宋体" w:cstheme="minorEastAsia"/>
          <w:b/>
          <w:kern w:val="0"/>
          <w:szCs w:val="21"/>
          <w:lang w:bidi="ar"/>
        </w:rPr>
        <w:t>4.</w:t>
      </w:r>
      <w:r>
        <w:rPr>
          <w:rFonts w:hint="eastAsia" w:ascii="宋体" w:hAnsi="宋体" w:eastAsia="宋体" w:cstheme="minorEastAsia"/>
          <w:b/>
          <w:kern w:val="0"/>
          <w:szCs w:val="21"/>
          <w:lang w:bidi="ar"/>
        </w:rPr>
        <w:t>参观目的</w:t>
      </w:r>
    </w:p>
    <w:p>
      <w:pPr>
        <w:widowControl/>
        <w:spacing w:line="300" w:lineRule="auto"/>
        <w:ind w:firstLine="420" w:firstLineChars="200"/>
        <w:jc w:val="left"/>
        <w:rPr>
          <w:rFonts w:ascii="宋体" w:hAnsi="宋体" w:eastAsia="宋体" w:cstheme="minorEastAsia"/>
          <w:kern w:val="0"/>
          <w:szCs w:val="21"/>
          <w:lang w:bidi="ar"/>
        </w:rPr>
      </w:pPr>
      <w:r>
        <w:rPr>
          <w:rFonts w:hint="eastAsia" w:ascii="宋体" w:hAnsi="宋体" w:eastAsia="宋体" w:cstheme="minorEastAsia"/>
          <w:szCs w:val="21"/>
        </w:rPr>
        <w:t>专业观众的参观目的有“收集市场信息”“了解新产品”“采购产品” “一般接触”“洽谈项目”“</w:t>
      </w:r>
      <w:r>
        <w:rPr>
          <w:rFonts w:hint="eastAsia" w:ascii="宋体" w:hAnsi="宋体" w:eastAsia="宋体"/>
        </w:rPr>
        <w:t>为明年参展做准备</w:t>
      </w:r>
      <w:r>
        <w:rPr>
          <w:rFonts w:hint="eastAsia" w:ascii="宋体" w:hAnsi="宋体" w:eastAsia="宋体" w:cstheme="minorEastAsia"/>
          <w:szCs w:val="21"/>
        </w:rPr>
        <w:t>”，比重依次降低。</w:t>
      </w:r>
    </w:p>
    <w:p>
      <w:pPr>
        <w:widowControl/>
        <w:spacing w:line="300" w:lineRule="auto"/>
        <w:jc w:val="left"/>
        <w:rPr>
          <w:rFonts w:ascii="宋体" w:hAnsi="宋体" w:eastAsia="宋体" w:cstheme="minorEastAsia"/>
          <w:color w:val="FF0000"/>
          <w:kern w:val="0"/>
          <w:szCs w:val="21"/>
          <w:lang w:bidi="ar"/>
        </w:rPr>
      </w:pPr>
      <w:r>
        <w:drawing>
          <wp:inline distT="0" distB="0" distL="0" distR="0">
            <wp:extent cx="4572000" cy="2743200"/>
            <wp:effectExtent l="0" t="0" r="0" b="0"/>
            <wp:docPr id="48"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widowControl/>
        <w:spacing w:line="300" w:lineRule="auto"/>
        <w:jc w:val="left"/>
        <w:rPr>
          <w:rFonts w:ascii="宋体" w:hAnsi="宋体" w:eastAsia="宋体"/>
        </w:rPr>
        <w:sectPr>
          <w:type w:val="continuous"/>
          <w:pgSz w:w="11906" w:h="16838"/>
          <w:pgMar w:top="1440" w:right="1800" w:bottom="1440" w:left="1800" w:header="851" w:footer="992" w:gutter="0"/>
          <w:cols w:space="425" w:num="1"/>
          <w:docGrid w:type="lines" w:linePitch="312" w:charSpace="0"/>
        </w:sectPr>
      </w:pPr>
    </w:p>
    <w:p>
      <w:pPr>
        <w:widowControl/>
        <w:spacing w:line="300" w:lineRule="auto"/>
        <w:jc w:val="left"/>
        <w:rPr>
          <w:rFonts w:ascii="宋体" w:hAnsi="宋体" w:eastAsia="宋体"/>
        </w:rPr>
      </w:pPr>
      <w:r>
        <w:rPr>
          <w:rFonts w:hint="eastAsia" w:ascii="宋体" w:hAnsi="宋体" w:eastAsia="宋体"/>
        </w:rPr>
        <w:t>收集市场信息</w:t>
      </w:r>
      <w:r>
        <w:rPr>
          <w:rFonts w:hint="eastAsia" w:ascii="宋体" w:hAnsi="宋体" w:eastAsia="宋体"/>
        </w:rPr>
        <w:tab/>
      </w:r>
      <w:r>
        <w:rPr>
          <w:rFonts w:hint="eastAsia" w:ascii="宋体" w:hAnsi="宋体" w:eastAsia="宋体"/>
        </w:rPr>
        <w:t>27%</w:t>
      </w:r>
    </w:p>
    <w:p>
      <w:pPr>
        <w:widowControl/>
        <w:spacing w:line="300" w:lineRule="auto"/>
        <w:jc w:val="left"/>
        <w:rPr>
          <w:rFonts w:ascii="宋体" w:hAnsi="宋体" w:eastAsia="宋体"/>
        </w:rPr>
      </w:pPr>
      <w:r>
        <w:rPr>
          <w:rFonts w:hint="eastAsia" w:ascii="宋体" w:hAnsi="宋体" w:eastAsia="宋体"/>
        </w:rPr>
        <w:t>了解新产品</w:t>
      </w:r>
      <w:r>
        <w:rPr>
          <w:rFonts w:hint="eastAsia" w:ascii="宋体" w:hAnsi="宋体" w:eastAsia="宋体"/>
        </w:rPr>
        <w:tab/>
      </w:r>
      <w:r>
        <w:rPr>
          <w:rFonts w:hint="eastAsia" w:ascii="宋体" w:hAnsi="宋体" w:eastAsia="宋体"/>
        </w:rPr>
        <w:t>22%</w:t>
      </w:r>
    </w:p>
    <w:p>
      <w:pPr>
        <w:widowControl/>
        <w:spacing w:line="300" w:lineRule="auto"/>
        <w:jc w:val="left"/>
        <w:rPr>
          <w:rFonts w:ascii="宋体" w:hAnsi="宋体" w:eastAsia="宋体"/>
        </w:rPr>
      </w:pPr>
      <w:r>
        <w:rPr>
          <w:rFonts w:hint="eastAsia" w:ascii="宋体" w:hAnsi="宋体" w:eastAsia="宋体"/>
        </w:rPr>
        <w:t>采购产品</w:t>
      </w:r>
      <w:r>
        <w:rPr>
          <w:rFonts w:hint="eastAsia" w:ascii="宋体" w:hAnsi="宋体" w:eastAsia="宋体"/>
        </w:rPr>
        <w:tab/>
      </w:r>
      <w:r>
        <w:rPr>
          <w:rFonts w:hint="eastAsia" w:ascii="宋体" w:hAnsi="宋体" w:eastAsia="宋体"/>
        </w:rPr>
        <w:t>20%</w:t>
      </w:r>
    </w:p>
    <w:p>
      <w:pPr>
        <w:widowControl/>
        <w:spacing w:line="300" w:lineRule="auto"/>
        <w:jc w:val="left"/>
        <w:rPr>
          <w:rFonts w:ascii="宋体" w:hAnsi="宋体" w:eastAsia="宋体"/>
        </w:rPr>
      </w:pPr>
      <w:r>
        <w:rPr>
          <w:rFonts w:hint="eastAsia" w:ascii="宋体" w:hAnsi="宋体" w:eastAsia="宋体"/>
        </w:rPr>
        <w:t>一般接触</w:t>
      </w:r>
      <w:r>
        <w:rPr>
          <w:rFonts w:hint="eastAsia" w:ascii="宋体" w:hAnsi="宋体" w:eastAsia="宋体"/>
        </w:rPr>
        <w:tab/>
      </w:r>
      <w:r>
        <w:rPr>
          <w:rFonts w:hint="eastAsia" w:ascii="宋体" w:hAnsi="宋体" w:eastAsia="宋体"/>
        </w:rPr>
        <w:t>11%</w:t>
      </w:r>
    </w:p>
    <w:p>
      <w:pPr>
        <w:widowControl/>
        <w:spacing w:line="300" w:lineRule="auto"/>
        <w:jc w:val="left"/>
        <w:rPr>
          <w:rFonts w:ascii="宋体" w:hAnsi="宋体" w:eastAsia="宋体"/>
        </w:rPr>
      </w:pPr>
      <w:r>
        <w:rPr>
          <w:rFonts w:hint="eastAsia" w:ascii="宋体" w:hAnsi="宋体" w:eastAsia="宋体"/>
        </w:rPr>
        <w:t>洽谈项目</w:t>
      </w:r>
      <w:r>
        <w:rPr>
          <w:rFonts w:hint="eastAsia" w:ascii="宋体" w:hAnsi="宋体" w:eastAsia="宋体"/>
        </w:rPr>
        <w:tab/>
      </w:r>
      <w:r>
        <w:rPr>
          <w:rFonts w:hint="eastAsia" w:ascii="宋体" w:hAnsi="宋体" w:eastAsia="宋体"/>
        </w:rPr>
        <w:t>9%</w:t>
      </w:r>
    </w:p>
    <w:p>
      <w:pPr>
        <w:widowControl/>
        <w:spacing w:line="300" w:lineRule="auto"/>
        <w:jc w:val="left"/>
        <w:rPr>
          <w:rFonts w:ascii="宋体" w:hAnsi="宋体" w:eastAsia="宋体"/>
        </w:rPr>
      </w:pPr>
      <w:r>
        <w:rPr>
          <w:rFonts w:hint="eastAsia" w:ascii="宋体" w:hAnsi="宋体" w:eastAsia="宋体"/>
        </w:rPr>
        <w:t>为明年参展做准备</w:t>
      </w:r>
      <w:r>
        <w:rPr>
          <w:rFonts w:hint="eastAsia" w:ascii="宋体" w:hAnsi="宋体" w:eastAsia="宋体"/>
        </w:rPr>
        <w:tab/>
      </w:r>
      <w:r>
        <w:rPr>
          <w:rFonts w:hint="eastAsia" w:ascii="宋体" w:hAnsi="宋体" w:eastAsia="宋体"/>
        </w:rPr>
        <w:t>7%</w:t>
      </w:r>
    </w:p>
    <w:p>
      <w:pPr>
        <w:widowControl/>
        <w:spacing w:line="300" w:lineRule="auto"/>
        <w:jc w:val="left"/>
        <w:rPr>
          <w:rFonts w:ascii="宋体" w:hAnsi="宋体" w:eastAsia="宋体"/>
        </w:rPr>
      </w:pPr>
      <w:r>
        <w:rPr>
          <w:rFonts w:hint="eastAsia" w:ascii="宋体" w:hAnsi="宋体" w:eastAsia="宋体"/>
        </w:rPr>
        <w:t>其他</w:t>
      </w:r>
      <w:r>
        <w:rPr>
          <w:rFonts w:hint="eastAsia" w:ascii="宋体" w:hAnsi="宋体" w:eastAsia="宋体"/>
        </w:rPr>
        <w:tab/>
      </w:r>
      <w:r>
        <w:rPr>
          <w:rFonts w:hint="eastAsia" w:ascii="宋体" w:hAnsi="宋体" w:eastAsia="宋体"/>
        </w:rPr>
        <w:t>4%</w:t>
      </w:r>
    </w:p>
    <w:p>
      <w:pPr>
        <w:widowControl/>
        <w:spacing w:line="300" w:lineRule="auto"/>
        <w:jc w:val="left"/>
        <w:rPr>
          <w:rFonts w:ascii="宋体" w:hAnsi="宋体" w:eastAsia="宋体" w:cstheme="minorEastAsia"/>
          <w:b/>
          <w:kern w:val="0"/>
          <w:szCs w:val="21"/>
          <w:lang w:bidi="ar"/>
        </w:rPr>
        <w:sectPr>
          <w:type w:val="continuous"/>
          <w:pgSz w:w="11906" w:h="16838"/>
          <w:pgMar w:top="1440" w:right="1800" w:bottom="1440" w:left="1800" w:header="851" w:footer="992" w:gutter="0"/>
          <w:cols w:space="425" w:num="2"/>
          <w:docGrid w:type="lines" w:linePitch="312" w:charSpace="0"/>
        </w:sectPr>
      </w:pPr>
    </w:p>
    <w:p>
      <w:pPr>
        <w:widowControl/>
        <w:spacing w:line="300" w:lineRule="auto"/>
        <w:jc w:val="left"/>
        <w:rPr>
          <w:rFonts w:ascii="宋体" w:hAnsi="宋体" w:eastAsia="宋体" w:cstheme="minorEastAsia"/>
          <w:b/>
          <w:kern w:val="0"/>
          <w:szCs w:val="21"/>
          <w:lang w:bidi="ar"/>
        </w:rPr>
      </w:pPr>
    </w:p>
    <w:p>
      <w:pPr>
        <w:widowControl/>
        <w:spacing w:line="300" w:lineRule="auto"/>
        <w:jc w:val="left"/>
        <w:rPr>
          <w:rFonts w:ascii="宋体" w:hAnsi="宋体" w:eastAsia="宋体" w:cstheme="minorEastAsia"/>
          <w:b/>
          <w:kern w:val="0"/>
          <w:szCs w:val="21"/>
          <w:lang w:bidi="ar"/>
        </w:rPr>
      </w:pPr>
      <w:r>
        <w:rPr>
          <w:rFonts w:ascii="宋体" w:hAnsi="宋体" w:eastAsia="宋体" w:cstheme="minorEastAsia"/>
          <w:b/>
          <w:kern w:val="0"/>
          <w:szCs w:val="21"/>
          <w:lang w:bidi="ar"/>
        </w:rPr>
        <w:t>5.</w:t>
      </w:r>
      <w:r>
        <w:rPr>
          <w:rFonts w:hint="eastAsia" w:ascii="宋体" w:hAnsi="宋体" w:eastAsia="宋体" w:cstheme="minorEastAsia"/>
          <w:b/>
          <w:kern w:val="0"/>
          <w:szCs w:val="21"/>
          <w:lang w:bidi="ar"/>
        </w:rPr>
        <w:t>参观团体</w:t>
      </w:r>
    </w:p>
    <w:p>
      <w:pPr>
        <w:widowControl/>
        <w:spacing w:line="300" w:lineRule="auto"/>
        <w:ind w:firstLine="420" w:firstLineChars="200"/>
        <w:jc w:val="left"/>
        <w:rPr>
          <w:rFonts w:ascii="宋体" w:hAnsi="宋体" w:eastAsia="宋体" w:cstheme="minorEastAsia"/>
          <w:b/>
          <w:szCs w:val="21"/>
        </w:rPr>
      </w:pPr>
      <w:r>
        <w:rPr>
          <w:rFonts w:hint="eastAsia" w:ascii="宋体" w:hAnsi="宋体" w:eastAsia="宋体" w:cstheme="minorEastAsia"/>
          <w:szCs w:val="21"/>
        </w:rPr>
        <w:t>本届机博会共计迎来了近1</w:t>
      </w:r>
      <w:r>
        <w:rPr>
          <w:rFonts w:ascii="宋体" w:hAnsi="宋体" w:eastAsia="宋体" w:cstheme="minorEastAsia"/>
          <w:szCs w:val="21"/>
        </w:rPr>
        <w:t>00</w:t>
      </w:r>
      <w:r>
        <w:rPr>
          <w:rFonts w:hint="eastAsia" w:ascii="宋体" w:hAnsi="宋体" w:eastAsia="宋体" w:cstheme="minorEastAsia"/>
          <w:szCs w:val="21"/>
        </w:rPr>
        <w:t>家商会协会、工业园区组团、大型企业团体参观：</w:t>
      </w:r>
    </w:p>
    <w:p>
      <w:pPr>
        <w:pStyle w:val="6"/>
        <w:widowControl/>
        <w:spacing w:beforeAutospacing="0" w:afterAutospacing="0" w:line="300" w:lineRule="auto"/>
        <w:rPr>
          <w:rFonts w:ascii="宋体" w:hAnsi="宋体" w:eastAsia="宋体" w:cstheme="minorEastAsia"/>
          <w:color w:val="000000"/>
          <w:sz w:val="21"/>
          <w:szCs w:val="21"/>
        </w:rPr>
        <w:sectPr>
          <w:type w:val="continuous"/>
          <w:pgSz w:w="11906" w:h="16838"/>
          <w:pgMar w:top="1440" w:right="1800" w:bottom="1440" w:left="1800" w:header="851" w:footer="992" w:gutter="0"/>
          <w:cols w:space="425" w:num="1"/>
          <w:docGrid w:type="lines" w:linePitch="312" w:charSpace="0"/>
        </w:sectPr>
      </w:pP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湖北省机械工程学会</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湖北省机械行业联合会</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湖北省模具工业协会</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湖北省表面工程协会</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湖北省焊接协会</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湖北省铸造协会</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湖北省锻压协会</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湖北省民营经济研究会汽车产业分会</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东风汽车集团有限公司老科协武汉联合会</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武汉汽车行业协会</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经开区（汉南区）汽车及零部件商会</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湖北省锻压协会</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武汉·中国光谷激光协会</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十堰市机械工程学会</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十堰市专用汽车行业协会</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十堰市铸造行业协会</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十堰市中小企业发展服务中心</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襄阳市汽车行业协会</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荆州市汽车零部件商会</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随州市汽车行业协会</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黄冈市工业经济联合会</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麻城市工业经济联合会</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黄石市挤出模具协会</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湖北省机器人产业技术创新联盟</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东风汽车集团股份有限公司</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湖北三江航天万峰科技发展有限公司</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湖北三江航天万山特种车辆有限公司</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三江瓦力特特种车辆有限公司</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湖北三环汽车方向机有限公司</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湖北三环汽车电器有限公司</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采埃孚汽车系统（武汉）有限公司</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湖北神风汽车弹簧有限公司</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武汉富士康金机虎</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富士康科技集团（武汉）科技工业园工会委员会</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格力智能装备（武汉）有限公司</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格力电器（武汉）有限公司</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武汉高德红外股份有限公司</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中铁重工有限公司</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中国电建集团武汉重工装备有限公司</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武钢中冶工业技术服务有限公司</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武汉市江夏区夕阳红工艺装备厂</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武汉航达航空科技发展有限公司</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藤仓烽火光电材料科技有限公司</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武汉凯奇冶金焊接设备制造有限责任公司</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武汉鑫巨力精密机械制造有限公司</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武汉青山北湖南丰设备有限公司</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武汉重工铸锻有限责任公司</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国营武汉长虹机械厂</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凌云科技集团有限责任公司</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武汉凡谷电子技术股份有限公司</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武汉建筑材料工业设计研究院有限公司节能机电分公司</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武汉联塑精密模具有限公司</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黄石东贝压缩机有限公司</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武汉黎赛科技有限责任公司</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武汉医佳宝生物材料有限公司</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武汉中精科技有限公司</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武汉半边天医疗技术发展有限公司</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武汉东江菲特科技股份有限公司</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武汉芝麻开门自动化有限公司</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工集网络科技（武汉）有限公司</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湖北双燕塑料有限公司</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武汉恒新动力科技有限公司</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湖北香城智能机电研究院有限公司</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武汉迪昌科技有限公司</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武汉瑞祥安科技股份有限公司</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武汉市世宇精密模具有限公司</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中国长江动力集团有限公司</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湖北贵钛金属制品有限公司</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黄石东贝制冷有限公司</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武汉建筑材料工业设计研究院有限公司</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武汉迈瑞科技有限公司</w:t>
      </w:r>
    </w:p>
    <w:p>
      <w:pPr>
        <w:pStyle w:val="6"/>
        <w:widowControl/>
        <w:spacing w:beforeAutospacing="0" w:afterAutospacing="0" w:line="300" w:lineRule="auto"/>
        <w:rPr>
          <w:rFonts w:ascii="宋体" w:hAnsi="宋体" w:eastAsia="宋体" w:cstheme="minorEastAsia"/>
          <w:color w:val="000000"/>
          <w:sz w:val="21"/>
          <w:szCs w:val="21"/>
        </w:rPr>
      </w:pPr>
      <w:r>
        <w:rPr>
          <w:rFonts w:hint="eastAsia" w:ascii="宋体" w:hAnsi="宋体" w:eastAsia="宋体" w:cstheme="minorEastAsia"/>
          <w:color w:val="000000"/>
          <w:sz w:val="21"/>
          <w:szCs w:val="21"/>
        </w:rPr>
        <w:t>…………</w:t>
      </w:r>
    </w:p>
    <w:p>
      <w:pPr>
        <w:pStyle w:val="6"/>
        <w:widowControl/>
        <w:spacing w:beforeAutospacing="0" w:afterAutospacing="0" w:line="300" w:lineRule="auto"/>
        <w:rPr>
          <w:rFonts w:ascii="宋体" w:hAnsi="宋体" w:eastAsia="宋体" w:cstheme="minorEastAsia"/>
          <w:color w:val="000000"/>
          <w:sz w:val="21"/>
          <w:szCs w:val="21"/>
        </w:rPr>
        <w:sectPr>
          <w:type w:val="continuous"/>
          <w:pgSz w:w="11906" w:h="16838"/>
          <w:pgMar w:top="1440" w:right="1800" w:bottom="1440" w:left="1800" w:header="851" w:footer="992" w:gutter="0"/>
          <w:cols w:space="425" w:num="2"/>
          <w:docGrid w:type="lines" w:linePitch="312" w:charSpace="0"/>
        </w:sectPr>
      </w:pPr>
    </w:p>
    <w:p>
      <w:pPr>
        <w:pStyle w:val="6"/>
        <w:widowControl/>
        <w:spacing w:beforeAutospacing="0" w:afterAutospacing="0" w:line="300" w:lineRule="auto"/>
        <w:rPr>
          <w:rFonts w:ascii="宋体" w:hAnsi="宋体" w:eastAsia="宋体" w:cstheme="minorEastAsia"/>
          <w:color w:val="000000"/>
          <w:sz w:val="21"/>
          <w:szCs w:val="21"/>
        </w:rPr>
      </w:pPr>
    </w:p>
    <w:p>
      <w:pPr>
        <w:widowControl/>
        <w:spacing w:line="300" w:lineRule="auto"/>
        <w:jc w:val="left"/>
        <w:rPr>
          <w:rFonts w:ascii="宋体" w:hAnsi="宋体" w:eastAsia="宋体" w:cstheme="minorEastAsia"/>
          <w:b/>
          <w:kern w:val="0"/>
          <w:szCs w:val="21"/>
          <w:lang w:bidi="ar"/>
        </w:rPr>
      </w:pPr>
      <w:r>
        <w:rPr>
          <w:rFonts w:ascii="宋体" w:hAnsi="宋体" w:eastAsia="宋体" w:cstheme="minorEastAsia"/>
          <w:b/>
          <w:kern w:val="0"/>
          <w:szCs w:val="21"/>
          <w:lang w:bidi="ar"/>
        </w:rPr>
        <w:t>6.</w:t>
      </w:r>
      <w:r>
        <w:rPr>
          <w:rFonts w:hint="eastAsia" w:ascii="宋体" w:hAnsi="宋体" w:eastAsia="宋体" w:cstheme="minorEastAsia"/>
          <w:b/>
          <w:kern w:val="0"/>
          <w:szCs w:val="21"/>
          <w:lang w:bidi="ar"/>
        </w:rPr>
        <w:t>优质买家</w:t>
      </w:r>
    </w:p>
    <w:p>
      <w:r>
        <w:rPr>
          <w:rFonts w:ascii="宋体" w:hAnsi="宋体" w:eastAsia="宋体" w:cstheme="minorEastAsia"/>
          <w:szCs w:val="21"/>
        </w:rPr>
        <w:drawing>
          <wp:inline distT="0" distB="0" distL="0" distR="0">
            <wp:extent cx="5274310" cy="1597660"/>
            <wp:effectExtent l="0" t="0" r="2540" b="2540"/>
            <wp:docPr id="5" name="图片 5" descr="C:\Users\86186\Documents\WeChat Files\wxid_i4nl7mnq1cqw21\FileStorage\Temp\50a3e14e89647f6272f191e83c3221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86186\Documents\WeChat Files\wxid_i4nl7mnq1cqw21\FileStorage\Temp\50a3e14e89647f6272f191e83c32217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4310" cy="1597921"/>
                    </a:xfrm>
                    <a:prstGeom prst="rect">
                      <a:avLst/>
                    </a:prstGeom>
                    <a:noFill/>
                    <a:ln>
                      <a:noFill/>
                    </a:ln>
                  </pic:spPr>
                </pic:pic>
              </a:graphicData>
            </a:graphic>
          </wp:inline>
        </w:drawing>
      </w:r>
    </w:p>
    <w:p>
      <w:pPr>
        <w:pStyle w:val="6"/>
        <w:widowControl/>
        <w:spacing w:beforeAutospacing="0" w:afterAutospacing="0" w:line="300" w:lineRule="auto"/>
        <w:ind w:firstLine="420" w:firstLineChars="200"/>
        <w:rPr>
          <w:rFonts w:ascii="宋体" w:hAnsi="宋体" w:eastAsia="宋体" w:cstheme="minorEastAsia"/>
          <w:color w:val="000000"/>
          <w:sz w:val="21"/>
          <w:szCs w:val="21"/>
        </w:rPr>
      </w:pPr>
      <w:r>
        <w:rPr>
          <w:rFonts w:hint="eastAsia" w:ascii="宋体" w:hAnsi="宋体" w:eastAsia="宋体" w:cstheme="minorEastAsia"/>
          <w:color w:val="000000"/>
          <w:sz w:val="21"/>
          <w:szCs w:val="21"/>
        </w:rPr>
        <w:t>东风汽车集团公司、东风本田汽车、东风专用零部件、风神襄阳汽车、湖北三江航天万峰科技发展有限公司、湖北三江航天万山特种车辆、三江瓦力特特种车辆、采埃孚汽车系统、湖北航宇精工、鼎福汽车工具、武汉金丰汽配、中航动力株洲航空零部件、湖北神风汽车弹簧、湖北旺龙专用汽车、湖北神力汽车零部件、武汉凯尔信汽车零部件、武汉楷迩环保设备、信阳银光机械有限责任公司、武汉重型机床集团、湖北鄂钢扬子重型机械、湖北博英精工、黄冈市劲马窑炉机械、华为技术、格力电器、</w:t>
      </w:r>
      <w:r>
        <w:rPr>
          <w:rFonts w:ascii="宋体" w:hAnsi="宋体" w:eastAsia="宋体" w:cstheme="minorEastAsia"/>
          <w:color w:val="000000"/>
          <w:sz w:val="21"/>
          <w:szCs w:val="21"/>
        </w:rPr>
        <w:t>TCL、富士康、高德红外、航达科技、武汉凡谷电子技术股份、武汉瑞吉特工装设备、武汉</w:t>
      </w:r>
      <w:r>
        <w:rPr>
          <w:rFonts w:hint="eastAsia" w:ascii="宋体" w:hAnsi="宋体" w:eastAsia="宋体" w:cstheme="minorEastAsia"/>
          <w:color w:val="000000"/>
          <w:sz w:val="21"/>
          <w:szCs w:val="21"/>
        </w:rPr>
        <w:t>联塑精密模具、武汉三环富兰特模具、金牛管业、湖北双燕塑料等等。</w:t>
      </w:r>
    </w:p>
    <w:p>
      <w:pPr>
        <w:widowControl/>
        <w:spacing w:line="300" w:lineRule="auto"/>
        <w:jc w:val="left"/>
        <w:rPr>
          <w:rFonts w:ascii="宋体" w:hAnsi="宋体" w:eastAsia="宋体" w:cstheme="minorEastAsia"/>
          <w:b/>
          <w:szCs w:val="21"/>
        </w:rPr>
      </w:pPr>
      <w:r>
        <w:rPr>
          <w:rFonts w:ascii="宋体" w:hAnsi="宋体" w:eastAsia="宋体" w:cstheme="minorEastAsia"/>
          <w:b/>
          <w:kern w:val="0"/>
          <w:szCs w:val="21"/>
          <w:lang w:bidi="ar"/>
        </w:rPr>
        <w:t>7.</w:t>
      </w:r>
      <w:r>
        <w:rPr>
          <w:rFonts w:hint="eastAsia" w:ascii="宋体" w:hAnsi="宋体" w:eastAsia="宋体" w:cstheme="minorEastAsia"/>
          <w:b/>
          <w:kern w:val="0"/>
          <w:szCs w:val="21"/>
          <w:lang w:bidi="ar"/>
        </w:rPr>
        <w:t>观众获取展会信息渠道</w:t>
      </w:r>
    </w:p>
    <w:p>
      <w:pPr>
        <w:pStyle w:val="6"/>
        <w:widowControl/>
        <w:jc w:val="center"/>
        <w:rPr>
          <w:rFonts w:asciiTheme="minorEastAsia" w:hAnsiTheme="minorEastAsia" w:cstheme="minorEastAsia"/>
          <w:sz w:val="21"/>
          <w:szCs w:val="21"/>
        </w:rPr>
      </w:pPr>
      <w:r>
        <w:drawing>
          <wp:inline distT="0" distB="0" distL="0" distR="0">
            <wp:extent cx="4572000" cy="2743200"/>
            <wp:effectExtent l="0" t="0" r="0" b="0"/>
            <wp:docPr id="50" name="图表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pStyle w:val="6"/>
        <w:widowControl/>
        <w:jc w:val="both"/>
        <w:rPr>
          <w:rFonts w:asciiTheme="minorEastAsia" w:hAnsiTheme="minorEastAsia" w:cstheme="minorEastAsia"/>
          <w:sz w:val="21"/>
          <w:szCs w:val="21"/>
        </w:rPr>
      </w:pPr>
      <w:r>
        <w:rPr>
          <w:rFonts w:hint="eastAsia" w:asciiTheme="minorEastAsia" w:hAnsiTheme="minorEastAsia" w:cstheme="minorEastAsia"/>
          <w:sz w:val="21"/>
          <w:szCs w:val="21"/>
        </w:rPr>
        <w:t>经由微信（朋友圈、公众号、微信群）、同行好友、打电话告知前来参观的观众人数最多；其次为传统纸媒、装备嘉族；抖音、短信、微博、电视、广播渠道也有效触及了行业人士。</w:t>
      </w:r>
    </w:p>
    <w:p>
      <w:pPr>
        <w:spacing w:line="300" w:lineRule="auto"/>
        <w:rPr>
          <w:rFonts w:ascii="宋体" w:hAnsi="宋体" w:eastAsia="宋体" w:cstheme="minorEastAsia"/>
          <w:b/>
          <w:bCs/>
          <w:kern w:val="0"/>
          <w:sz w:val="24"/>
          <w:lang w:bidi="ar"/>
        </w:rPr>
      </w:pPr>
      <w:r>
        <w:rPr>
          <w:rFonts w:hint="eastAsia" w:ascii="宋体" w:hAnsi="宋体" w:eastAsia="宋体"/>
          <w:b/>
          <w:bCs/>
          <w:sz w:val="24"/>
        </w:rPr>
        <w:t>三、展商数据分析：</w:t>
      </w:r>
    </w:p>
    <w:p>
      <w:pPr>
        <w:spacing w:line="300" w:lineRule="auto"/>
        <w:ind w:firstLine="420" w:firstLineChars="200"/>
        <w:rPr>
          <w:rFonts w:ascii="宋体" w:hAnsi="宋体" w:eastAsia="宋体"/>
        </w:rPr>
      </w:pPr>
      <w:r>
        <w:rPr>
          <w:rFonts w:hint="eastAsia" w:ascii="宋体" w:hAnsi="宋体" w:eastAsia="宋体" w:cstheme="minorEastAsia"/>
          <w:color w:val="000000"/>
          <w:szCs w:val="21"/>
          <w:shd w:val="clear" w:color="auto" w:fill="FFFFFF"/>
        </w:rPr>
        <w:t>本届展会</w:t>
      </w:r>
      <w:r>
        <w:rPr>
          <w:rFonts w:hint="eastAsia" w:ascii="宋体" w:hAnsi="宋体" w:eastAsia="宋体" w:cstheme="minorEastAsia"/>
          <w:color w:val="000000"/>
          <w:szCs w:val="21"/>
        </w:rPr>
        <w:t>吸引了</w:t>
      </w:r>
      <w:r>
        <w:rPr>
          <w:rFonts w:hint="eastAsia" w:ascii="宋体" w:hAnsi="宋体" w:eastAsia="宋体"/>
        </w:rPr>
        <w:t>来自美国、日本、英国、德国、韩国、瑞士等10余个国家以及中国香港、中国台湾地区和国内20多个省市机电行业制造商报名参展。马扎克、牧野、埃马克、哈挺、迪恩、津上、雷尼绍、友嘉、永进、油机、纽威、台群、迈萃斯、不二越、华中数控、乔扬、宝科、新诺、CY、扬森、创能、友龙、德扬、久勋、中扬、巨高、智目、金岭、华集、华特、台功、德杰、日野、恒望、古田、精机琥正、通大、中星、江南、普鲁特、东部、江苏金诺、宝宇、巨匠、西格马、仲全、GF、宝煜、华特、铁正、普拉迪、华恩、齐星精创、德力、弘迪、全永、合盈、瑞均、大铁、汉奇、宝玛格、睿泽、捷程、庆鸿、汉霸、汉奇、硕方、木村、惠东、博达、森特威、美创汇诚、国瑞恒顺、震声机电、世纪祥通、世纪天一、金仕达、利劲、鑫忠信、同心、赛帕埃惜、耐霸、一准、以赛亚、科威晶、奥胜达、科普鑫宇、匠心、世匠、西门子、伟斯、米宏、德柔、釜正、红旗、百灵、硕克、京腾、上大恒精、晟元兴、耐斯、耀欣、益新、力创、千岛、昶冉、普诺克、英络克、捷甬达、名井、荣谐、金美威、鑫凯锋、天合、旨恒、鲁重、天友、扬力、重装、晋诚、比优特、台稳、SLM、触点、斯柯特、三环、艾蓓斯、中力、诺高工业、卓蓝、科聪、云雀、摩卡、芯合、山大华天、伊玛、精坐标、唯景三维、雷普、威浦、速睦喜、事德纳、合发齿轮、联安机电、山口、德诺、瑞气、台菱、博锐恩、明海达、威德诺、恒优达、欧恩、安川、龙思达、鸿镭、力夫特、亚德客、博亿精科、伟尔仕、安美科技、福协德、飞达、新发现、瑞大、新思路、拉古那、新智特、明国、乾鼎、日畅、东亚等品牌强势集结，各项前沿技术在此汇聚，尽显工业智造高速发展之势。</w:t>
      </w:r>
    </w:p>
    <w:p>
      <w:pPr>
        <w:widowControl/>
        <w:spacing w:line="300" w:lineRule="auto"/>
        <w:jc w:val="left"/>
        <w:rPr>
          <w:rFonts w:ascii="宋体" w:hAnsi="宋体" w:eastAsia="宋体"/>
          <w:b/>
        </w:rPr>
      </w:pPr>
      <w:r>
        <w:rPr>
          <w:rFonts w:ascii="宋体" w:hAnsi="宋体" w:eastAsia="宋体" w:cs="宋体"/>
          <w:b/>
          <w:kern w:val="0"/>
          <w:sz w:val="24"/>
          <w:lang w:bidi="ar"/>
        </w:rPr>
        <w:t>1.</w:t>
      </w:r>
      <w:r>
        <w:rPr>
          <w:rFonts w:ascii="宋体" w:hAnsi="宋体" w:eastAsia="宋体" w:cs="宋体"/>
          <w:b/>
          <w:kern w:val="0"/>
          <w:sz w:val="22"/>
          <w:szCs w:val="22"/>
          <w:lang w:bidi="ar"/>
        </w:rPr>
        <w:t>参展目的</w:t>
      </w:r>
    </w:p>
    <w:p>
      <w:pPr>
        <w:pStyle w:val="6"/>
        <w:widowControl/>
        <w:spacing w:line="300" w:lineRule="auto"/>
        <w:rPr>
          <w:rFonts w:ascii="宋体" w:hAnsi="宋体" w:eastAsia="宋体"/>
        </w:rPr>
      </w:pPr>
      <w:r>
        <w:rPr>
          <w:rFonts w:hint="eastAsia"/>
        </w:rPr>
        <w:drawing>
          <wp:inline distT="0" distB="0" distL="114300" distR="114300">
            <wp:extent cx="4648200" cy="2392680"/>
            <wp:effectExtent l="0" t="0" r="0" b="7620"/>
            <wp:docPr id="51" name="图片 51" descr="参展目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参展目的"/>
                    <pic:cNvPicPr>
                      <a:picLocks noChangeAspect="1"/>
                    </pic:cNvPicPr>
                  </pic:nvPicPr>
                  <pic:blipFill>
                    <a:blip r:embed="rId25"/>
                    <a:stretch>
                      <a:fillRect/>
                    </a:stretch>
                  </pic:blipFill>
                  <pic:spPr>
                    <a:xfrm>
                      <a:off x="0" y="0"/>
                      <a:ext cx="4652707" cy="2395031"/>
                    </a:xfrm>
                    <a:prstGeom prst="rect">
                      <a:avLst/>
                    </a:prstGeom>
                  </pic:spPr>
                </pic:pic>
              </a:graphicData>
            </a:graphic>
          </wp:inline>
        </w:drawing>
      </w:r>
    </w:p>
    <w:p>
      <w:pPr>
        <w:spacing w:line="300" w:lineRule="auto"/>
        <w:rPr>
          <w:rFonts w:ascii="宋体" w:hAnsi="宋体" w:eastAsia="宋体"/>
          <w:b/>
        </w:rPr>
      </w:pPr>
      <w:r>
        <w:rPr>
          <w:rFonts w:ascii="宋体" w:hAnsi="宋体" w:eastAsia="宋体"/>
          <w:b/>
        </w:rPr>
        <w:t>2</w:t>
      </w:r>
      <w:r>
        <w:rPr>
          <w:rFonts w:hint="eastAsia" w:ascii="宋体" w:hAnsi="宋体" w:eastAsia="宋体"/>
          <w:b/>
        </w:rPr>
        <w:t>.展商满意度分析</w:t>
      </w:r>
    </w:p>
    <w:p>
      <w:pPr>
        <w:spacing w:line="300" w:lineRule="auto"/>
        <w:rPr>
          <w:rFonts w:ascii="宋体" w:hAnsi="宋体" w:eastAsia="宋体"/>
          <w:b/>
          <w:bCs/>
          <w:sz w:val="36"/>
          <w:szCs w:val="36"/>
        </w:rPr>
      </w:pPr>
      <w:r>
        <w:rPr>
          <w:rFonts w:hint="eastAsia"/>
          <w:color w:val="FF0000"/>
        </w:rPr>
        <w:drawing>
          <wp:inline distT="0" distB="0" distL="114300" distR="114300">
            <wp:extent cx="4434840" cy="2646680"/>
            <wp:effectExtent l="0" t="0" r="3810" b="1270"/>
            <wp:docPr id="52" name="图片 52" descr="展商满意度分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展商满意度分析"/>
                    <pic:cNvPicPr>
                      <a:picLocks noChangeAspect="1"/>
                    </pic:cNvPicPr>
                  </pic:nvPicPr>
                  <pic:blipFill>
                    <a:blip r:embed="rId26"/>
                    <a:stretch>
                      <a:fillRect/>
                    </a:stretch>
                  </pic:blipFill>
                  <pic:spPr>
                    <a:xfrm>
                      <a:off x="0" y="0"/>
                      <a:ext cx="4440762" cy="2650292"/>
                    </a:xfrm>
                    <a:prstGeom prst="rect">
                      <a:avLst/>
                    </a:prstGeom>
                  </pic:spPr>
                </pic:pic>
              </a:graphicData>
            </a:graphic>
          </wp:inline>
        </w:drawing>
      </w:r>
    </w:p>
    <w:p>
      <w:pPr>
        <w:spacing w:line="300" w:lineRule="auto"/>
        <w:rPr>
          <w:rFonts w:ascii="宋体" w:hAnsi="宋体" w:eastAsia="宋体" w:cs="仿宋"/>
          <w:b/>
          <w:sz w:val="24"/>
        </w:rPr>
      </w:pPr>
      <w:r>
        <w:rPr>
          <w:rFonts w:hint="eastAsia" w:ascii="宋体" w:hAnsi="宋体" w:eastAsia="宋体" w:cs="仿宋"/>
          <w:b/>
          <w:sz w:val="24"/>
        </w:rPr>
        <w:t>四、聚焦行业热点 共话产业发展新方向</w:t>
      </w:r>
    </w:p>
    <w:p>
      <w:pPr>
        <w:spacing w:line="300" w:lineRule="auto"/>
        <w:ind w:firstLine="420" w:firstLineChars="200"/>
        <w:rPr>
          <w:rFonts w:ascii="宋体" w:hAnsi="宋体" w:eastAsia="宋体"/>
        </w:rPr>
      </w:pPr>
      <w:r>
        <w:rPr>
          <w:rFonts w:hint="eastAsia" w:ascii="宋体" w:hAnsi="宋体" w:eastAsia="宋体" w:cstheme="minorEastAsia"/>
        </w:rPr>
        <w:t>本届展会期间进行了10余场高端论坛及行业交流会，会议深入汽车产业链、新能源电驱动、孔加工、模具、智能装备、绿色再制造、激光切削等细分领域，汇聚了国内外知名企业专家、行业学者及一线企业，分析行业动态，</w:t>
      </w:r>
      <w:r>
        <w:rPr>
          <w:rFonts w:ascii="宋体" w:hAnsi="宋体" w:eastAsia="宋体"/>
        </w:rPr>
        <w:t>分享新产品、新技术，凝聚八方智慧共谋行业发展之路</w:t>
      </w:r>
      <w:r>
        <w:rPr>
          <w:rFonts w:hint="eastAsia" w:ascii="宋体" w:hAnsi="宋体" w:eastAsia="宋体"/>
        </w:rPr>
        <w:t>，</w:t>
      </w:r>
      <w:r>
        <w:rPr>
          <w:rFonts w:ascii="宋体" w:hAnsi="宋体" w:eastAsia="宋体"/>
        </w:rPr>
        <w:t>助力行业供需对接，共话未来工业发展新方向。</w:t>
      </w:r>
    </w:p>
    <w:p>
      <w:pPr>
        <w:spacing w:line="300" w:lineRule="auto"/>
        <w:rPr>
          <w:rFonts w:ascii="宋体" w:hAnsi="宋体" w:eastAsia="宋体"/>
          <w:b/>
        </w:rPr>
      </w:pPr>
      <w:r>
        <w:rPr>
          <w:rFonts w:hint="eastAsia" w:ascii="宋体" w:hAnsi="宋体" w:eastAsia="宋体"/>
          <w:b/>
        </w:rPr>
        <w:t>2</w:t>
      </w:r>
      <w:r>
        <w:rPr>
          <w:rFonts w:ascii="宋体" w:hAnsi="宋体" w:eastAsia="宋体"/>
          <w:b/>
        </w:rPr>
        <w:t>023</w:t>
      </w:r>
      <w:r>
        <w:rPr>
          <w:rFonts w:hint="eastAsia" w:ascii="宋体" w:hAnsi="宋体" w:eastAsia="宋体"/>
          <w:b/>
        </w:rPr>
        <w:t>第二届湖北汽车零部件产供链大会</w:t>
      </w:r>
    </w:p>
    <w:p>
      <w:pPr>
        <w:spacing w:line="300" w:lineRule="auto"/>
        <w:ind w:firstLine="420" w:firstLineChars="200"/>
        <w:rPr>
          <w:rFonts w:ascii="宋体" w:hAnsi="宋体" w:eastAsia="宋体"/>
        </w:rPr>
      </w:pPr>
      <w:r>
        <w:rPr>
          <w:rFonts w:hint="eastAsia" w:ascii="宋体" w:hAnsi="宋体" w:eastAsia="宋体"/>
        </w:rPr>
        <w:t>湖北是全国汽车产业大省，是引领带动全国汽车产业发展的代表省份之一。全省以武汉为核心，“汉孝随襄十”沿汉江汽车走廊为重点，宜昌、荆州、荆门、黄冈等地协同发展的汽车产业布局不断优化，正在加速打造具有世界影响力的万亿级汽车产业集群，支撑全省加快构建现代产业体系和“51020”现代产业集群。当前，新能源和智能网联汽车产品、技术的快速发展，我省汽车零部件产业链、供应链面临巨大挑战。</w:t>
      </w:r>
    </w:p>
    <w:p>
      <w:pPr>
        <w:spacing w:line="300" w:lineRule="auto"/>
        <w:rPr>
          <w:rFonts w:ascii="宋体" w:hAnsi="宋体" w:eastAsia="宋体"/>
        </w:rPr>
      </w:pPr>
      <w:r>
        <w:rPr>
          <w:rFonts w:hint="eastAsia" w:ascii="宋体" w:hAnsi="宋体" w:eastAsia="宋体"/>
        </w:rPr>
        <w:t xml:space="preserve"> </w:t>
      </w:r>
      <w:r>
        <w:rPr>
          <w:rFonts w:ascii="宋体" w:hAnsi="宋体" w:eastAsia="宋体"/>
        </w:rPr>
        <w:t xml:space="preserve">  </w:t>
      </w:r>
      <w:r>
        <w:rPr>
          <w:rFonts w:hint="eastAsia" w:ascii="宋体" w:hAnsi="宋体" w:eastAsia="宋体"/>
        </w:rPr>
        <w:t>为了进一步促进湖北汽车零部件产业快速发展，2</w:t>
      </w:r>
      <w:r>
        <w:rPr>
          <w:rFonts w:ascii="宋体" w:hAnsi="宋体" w:eastAsia="宋体"/>
        </w:rPr>
        <w:t>023</w:t>
      </w:r>
      <w:r>
        <w:rPr>
          <w:rFonts w:hint="eastAsia" w:ascii="宋体" w:hAnsi="宋体" w:eastAsia="宋体"/>
        </w:rPr>
        <w:t>年9月1</w:t>
      </w:r>
      <w:r>
        <w:rPr>
          <w:rFonts w:ascii="宋体" w:hAnsi="宋体" w:eastAsia="宋体"/>
        </w:rPr>
        <w:t>3</w:t>
      </w:r>
      <w:r>
        <w:rPr>
          <w:rFonts w:hint="eastAsia" w:ascii="宋体" w:hAnsi="宋体" w:eastAsia="宋体"/>
        </w:rPr>
        <w:t>日下午，由湖北省机械行业联合会、湖北省汽车产业技术创新联盟、武汉汽车行业协会、湖北立嘉会议展览有限公司联合20多家湖北省及十堰、襄阳、随州、荆州、黄冈、黄石、麻城等行业协会共同主办的第二届湖北汽车零部件产供链大会成功举办，本届大会以“精准对接、协同创新发展”为主题，聚焦汽车行业上中下游企业，融汇产业链供应链需求，继续为湖北汽车零部件企业搭建资源对接的平台，并展示先进的汽车及零部件加工解决方案，近400位关注汽车及零部件行业的领导、专家和企业代表出席，互动交流，共同助力湖北汽车制造业高质量发展。</w:t>
      </w:r>
    </w:p>
    <w:p>
      <w:pPr>
        <w:spacing w:line="300" w:lineRule="auto"/>
        <w:rPr>
          <w:rFonts w:ascii="宋体" w:hAnsi="宋体" w:eastAsia="宋体" w:cstheme="minorEastAsia"/>
        </w:rPr>
      </w:pPr>
      <w:r>
        <w:drawing>
          <wp:inline distT="0" distB="0" distL="0" distR="0">
            <wp:extent cx="3657600" cy="2438400"/>
            <wp:effectExtent l="0" t="0" r="0" b="0"/>
            <wp:docPr id="22" name="图片 2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657852" cy="2438568"/>
                    </a:xfrm>
                    <a:prstGeom prst="rect">
                      <a:avLst/>
                    </a:prstGeom>
                    <a:noFill/>
                    <a:ln>
                      <a:noFill/>
                    </a:ln>
                  </pic:spPr>
                </pic:pic>
              </a:graphicData>
            </a:graphic>
          </wp:inline>
        </w:drawing>
      </w:r>
      <w:r>
        <w:rPr>
          <w:rFonts w:hint="eastAsia" w:ascii="宋体" w:hAnsi="宋体" w:eastAsia="宋体" w:cstheme="minorEastAsia"/>
        </w:rPr>
        <w:t xml:space="preserve"> </w:t>
      </w:r>
      <w:r>
        <w:rPr>
          <w:rFonts w:ascii="宋体" w:hAnsi="宋体" w:eastAsia="宋体" w:cstheme="minorEastAsia"/>
        </w:rPr>
        <w:t xml:space="preserve">  </w:t>
      </w:r>
    </w:p>
    <w:p>
      <w:pPr>
        <w:spacing w:line="300" w:lineRule="auto"/>
        <w:rPr>
          <w:rFonts w:ascii="宋体" w:hAnsi="宋体" w:eastAsia="宋体"/>
          <w:b/>
          <w:bCs/>
        </w:rPr>
      </w:pPr>
      <w:r>
        <w:rPr>
          <w:rFonts w:hint="eastAsia" w:ascii="宋体" w:hAnsi="宋体" w:eastAsia="宋体"/>
          <w:b/>
          <w:bCs/>
        </w:rPr>
        <w:t>2023中国（武汉）高端装备产业国际合作论坛</w:t>
      </w:r>
    </w:p>
    <w:p>
      <w:pPr>
        <w:spacing w:line="300" w:lineRule="auto"/>
        <w:ind w:firstLine="420" w:firstLineChars="200"/>
        <w:rPr>
          <w:rFonts w:ascii="宋体" w:hAnsi="宋体" w:eastAsia="宋体"/>
          <w:bCs/>
        </w:rPr>
      </w:pPr>
      <w:r>
        <w:rPr>
          <w:rFonts w:hint="eastAsia" w:ascii="宋体" w:hAnsi="宋体" w:eastAsia="宋体"/>
          <w:bCs/>
        </w:rPr>
        <w:t>高端装备制造业决定了整个产业链综合竞争力，是现代产业体系的脊梁，是推动工业转型升级的引擎。今年上半年，我国装备制造业增加值占规上工业增加值的比重达32.3%，武汉装备制造业同样保持了较好发展势头，电气机械和器材制造业同比增长12.5%，工业机器人、3D打印设备产量同比分别增长55.2%、18.8%。</w:t>
      </w:r>
    </w:p>
    <w:p>
      <w:pPr>
        <w:spacing w:line="300" w:lineRule="auto"/>
        <w:rPr>
          <w:rFonts w:ascii="宋体" w:hAnsi="宋体" w:eastAsia="宋体"/>
          <w:bCs/>
        </w:rPr>
      </w:pPr>
      <w:r>
        <w:rPr>
          <w:rFonts w:hint="eastAsia" w:ascii="宋体" w:hAnsi="宋体" w:eastAsia="宋体"/>
          <w:bCs/>
        </w:rPr>
        <w:t xml:space="preserve">    “举办此次论坛恰逢其时。”在9月1</w:t>
      </w:r>
      <w:r>
        <w:rPr>
          <w:rFonts w:ascii="宋体" w:hAnsi="宋体" w:eastAsia="宋体"/>
          <w:bCs/>
        </w:rPr>
        <w:t>4</w:t>
      </w:r>
      <w:r>
        <w:rPr>
          <w:rFonts w:hint="eastAsia" w:ascii="宋体" w:hAnsi="宋体" w:eastAsia="宋体"/>
          <w:bCs/>
        </w:rPr>
        <w:t>日上午举行的2023中国（武汉）高端装备产业国际合作论坛上，中国机电商会常务副会长郑超在致辞时表示，近年来，武汉市以发展高端装备为抓手，瞄准高端化、智能化、绿色化发展方向，全面推进转型升级，积极应对产业链供应链风险挑战，取得了积极成效，“每年举办的中国国际机电产品博览会及高峰论坛已成为国内装备制造领域的盛会，对促进中部地区机电产业发展、构建中西部对外开放平台发挥了积极作用”。</w:t>
      </w:r>
    </w:p>
    <w:p>
      <w:pPr>
        <w:spacing w:line="300" w:lineRule="auto"/>
        <w:ind w:firstLine="420"/>
        <w:rPr>
          <w:rFonts w:ascii="宋体" w:hAnsi="宋体" w:eastAsia="宋体"/>
          <w:bCs/>
        </w:rPr>
      </w:pPr>
      <w:r>
        <w:rPr>
          <w:rFonts w:hint="eastAsia" w:ascii="宋体" w:hAnsi="宋体" w:eastAsia="宋体"/>
          <w:bCs/>
        </w:rPr>
        <w:t>阿尔及利亚、哥伦比亚、孟加拉、菲律宾、土耳其、冈比亚、奥地利等多个国家驻华使节和外交官员，中国战略新兴产业发展联盟、北京华夏工联网智能技术研究院等行业专家学者，以及拉法基豪瑞、中兴通讯、施耐德电气、埃森哲、晶澳科技、丹麦威卢克斯、中铁科工、烽火等中外企业高管及代表300余人参加论坛。</w:t>
      </w:r>
    </w:p>
    <w:p>
      <w:pPr>
        <w:spacing w:line="300" w:lineRule="auto"/>
        <w:rPr>
          <w:rFonts w:ascii="宋体" w:hAnsi="宋体" w:eastAsia="宋体"/>
          <w:bCs/>
        </w:rPr>
      </w:pPr>
      <w:r>
        <w:drawing>
          <wp:inline distT="0" distB="0" distL="0" distR="0">
            <wp:extent cx="3787140" cy="2515870"/>
            <wp:effectExtent l="0" t="0" r="3810" b="0"/>
            <wp:docPr id="24" name="图片 2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804099" cy="2527612"/>
                    </a:xfrm>
                    <a:prstGeom prst="rect">
                      <a:avLst/>
                    </a:prstGeom>
                    <a:noFill/>
                    <a:ln>
                      <a:noFill/>
                    </a:ln>
                  </pic:spPr>
                </pic:pic>
              </a:graphicData>
            </a:graphic>
          </wp:inline>
        </w:drawing>
      </w:r>
    </w:p>
    <w:p>
      <w:pPr>
        <w:spacing w:line="300" w:lineRule="auto"/>
        <w:rPr>
          <w:rFonts w:ascii="宋体" w:hAnsi="宋体" w:eastAsia="宋体"/>
          <w:b/>
          <w:bCs/>
        </w:rPr>
      </w:pPr>
      <w:r>
        <w:rPr>
          <w:rFonts w:hint="eastAsia" w:ascii="宋体" w:hAnsi="宋体" w:eastAsia="宋体"/>
          <w:b/>
          <w:bCs/>
        </w:rPr>
        <w:t>2</w:t>
      </w:r>
      <w:r>
        <w:rPr>
          <w:rFonts w:ascii="宋体" w:hAnsi="宋体" w:eastAsia="宋体"/>
          <w:b/>
          <w:bCs/>
        </w:rPr>
        <w:t>023</w:t>
      </w:r>
      <w:r>
        <w:rPr>
          <w:rFonts w:hint="eastAsia" w:ascii="宋体" w:hAnsi="宋体" w:eastAsia="宋体"/>
          <w:b/>
          <w:bCs/>
        </w:rPr>
        <w:t>第二届湖北省智能制造产教研融合高端论坛</w:t>
      </w:r>
    </w:p>
    <w:p>
      <w:pPr>
        <w:spacing w:line="300" w:lineRule="auto"/>
        <w:ind w:firstLine="452" w:firstLineChars="200"/>
        <w:rPr>
          <w:rFonts w:ascii="宋体" w:hAnsi="宋体" w:eastAsia="宋体"/>
          <w:spacing w:val="8"/>
          <w:szCs w:val="21"/>
          <w:shd w:val="clear" w:color="auto" w:fill="FFFFFF"/>
        </w:rPr>
      </w:pPr>
      <w:r>
        <w:rPr>
          <w:rFonts w:ascii="宋体" w:hAnsi="宋体" w:eastAsia="宋体" w:cs="Calibri"/>
          <w:spacing w:val="8"/>
          <w:szCs w:val="21"/>
          <w:shd w:val="clear" w:color="auto" w:fill="FFFFFF"/>
        </w:rPr>
        <w:t>2023</w:t>
      </w:r>
      <w:r>
        <w:rPr>
          <w:rFonts w:hint="eastAsia" w:ascii="宋体" w:hAnsi="宋体" w:eastAsia="宋体"/>
          <w:spacing w:val="8"/>
          <w:szCs w:val="21"/>
          <w:shd w:val="clear" w:color="auto" w:fill="FFFFFF"/>
        </w:rPr>
        <w:t>年</w:t>
      </w:r>
      <w:r>
        <w:rPr>
          <w:rFonts w:ascii="宋体" w:hAnsi="宋体" w:eastAsia="宋体" w:cs="Calibri"/>
          <w:spacing w:val="8"/>
          <w:szCs w:val="21"/>
          <w:shd w:val="clear" w:color="auto" w:fill="FFFFFF"/>
        </w:rPr>
        <w:t>9</w:t>
      </w:r>
      <w:r>
        <w:rPr>
          <w:rFonts w:hint="eastAsia" w:ascii="宋体" w:hAnsi="宋体" w:eastAsia="宋体"/>
          <w:spacing w:val="8"/>
          <w:szCs w:val="21"/>
          <w:shd w:val="clear" w:color="auto" w:fill="FFFFFF"/>
        </w:rPr>
        <w:t>月</w:t>
      </w:r>
      <w:r>
        <w:rPr>
          <w:rFonts w:ascii="宋体" w:hAnsi="宋体" w:eastAsia="宋体" w:cs="Calibri"/>
          <w:spacing w:val="8"/>
          <w:szCs w:val="21"/>
          <w:shd w:val="clear" w:color="auto" w:fill="FFFFFF"/>
        </w:rPr>
        <w:t>14</w:t>
      </w:r>
      <w:r>
        <w:rPr>
          <w:rFonts w:hint="eastAsia" w:ascii="宋体" w:hAnsi="宋体" w:eastAsia="宋体"/>
          <w:spacing w:val="8"/>
          <w:szCs w:val="21"/>
          <w:shd w:val="clear" w:color="auto" w:fill="FFFFFF"/>
        </w:rPr>
        <w:t>日，由湖北省高端装备制造产业创新联盟、湖北省机械工程学会主办，湖北工业大学和丁汉院士智能制造科普工作室承办的第二届湖北省智能制造产教研融合高端论坛在武汉国际博览中心</w:t>
      </w:r>
      <w:r>
        <w:rPr>
          <w:rFonts w:ascii="宋体" w:hAnsi="宋体" w:eastAsia="宋体" w:cs="Calibri"/>
          <w:spacing w:val="8"/>
          <w:szCs w:val="21"/>
          <w:shd w:val="clear" w:color="auto" w:fill="FFFFFF"/>
        </w:rPr>
        <w:t>B</w:t>
      </w:r>
      <w:r>
        <w:rPr>
          <w:rFonts w:hint="eastAsia" w:ascii="宋体" w:hAnsi="宋体" w:eastAsia="宋体"/>
          <w:spacing w:val="8"/>
          <w:szCs w:val="21"/>
          <w:shd w:val="clear" w:color="auto" w:fill="FFFFFF"/>
        </w:rPr>
        <w:t>召开。该论坛是湖北省科协</w:t>
      </w:r>
      <w:r>
        <w:rPr>
          <w:rFonts w:ascii="宋体" w:hAnsi="宋体" w:eastAsia="宋体" w:cs="Calibri"/>
          <w:spacing w:val="8"/>
          <w:szCs w:val="21"/>
          <w:shd w:val="clear" w:color="auto" w:fill="FFFFFF"/>
        </w:rPr>
        <w:t>2023</w:t>
      </w:r>
      <w:r>
        <w:rPr>
          <w:rFonts w:hint="eastAsia" w:ascii="宋体" w:hAnsi="宋体" w:eastAsia="宋体"/>
          <w:spacing w:val="8"/>
          <w:szCs w:val="21"/>
          <w:shd w:val="clear" w:color="auto" w:fill="FFFFFF"/>
        </w:rPr>
        <w:t>年重点学术活动之一，也是第</w:t>
      </w:r>
      <w:r>
        <w:rPr>
          <w:rFonts w:ascii="宋体" w:hAnsi="宋体" w:eastAsia="宋体" w:cs="Calibri"/>
          <w:spacing w:val="8"/>
          <w:szCs w:val="21"/>
          <w:shd w:val="clear" w:color="auto" w:fill="FFFFFF"/>
        </w:rPr>
        <w:t>23</w:t>
      </w:r>
      <w:r>
        <w:rPr>
          <w:rFonts w:hint="eastAsia" w:ascii="宋体" w:hAnsi="宋体" w:eastAsia="宋体"/>
          <w:spacing w:val="8"/>
          <w:szCs w:val="21"/>
          <w:shd w:val="clear" w:color="auto" w:fill="FFFFFF"/>
        </w:rPr>
        <w:t>届中国国际机电产品博览会的主题论坛。湖北省机械工程学会副理事长兼秘书长朱永平、湖北省科协党组成员、副主席王新云、湖北工业大学党委常委、副校长陈自才、湖北工业大学底特律绿色工业学院院长何涛、武汉交通职业学院校长周慎教授，武汉理工大学机电工程学院院长吴超群教授，华中科技大学机械科学与工程学院副院长陶波教授，武汉华中数控股份有限公司总裁田茂胜高工，浙江大学、浙江万维镜像科技有限公司副总潘常春高工等嘉宾出席并做了精彩的演讲。论坛以“凝聚创新 融合发展”为主题，邀请了</w:t>
      </w:r>
      <w:r>
        <w:rPr>
          <w:rFonts w:ascii="宋体" w:hAnsi="宋体" w:eastAsia="宋体" w:cs="Calibri"/>
          <w:spacing w:val="8"/>
          <w:szCs w:val="21"/>
          <w:shd w:val="clear" w:color="auto" w:fill="FFFFFF"/>
        </w:rPr>
        <w:t>200</w:t>
      </w:r>
      <w:r>
        <w:rPr>
          <w:rFonts w:hint="eastAsia" w:ascii="宋体" w:hAnsi="宋体" w:eastAsia="宋体"/>
          <w:spacing w:val="8"/>
          <w:szCs w:val="21"/>
          <w:shd w:val="clear" w:color="auto" w:fill="FFFFFF"/>
        </w:rPr>
        <w:t>余名来自全省各地高校院所和制造业企业的专家、学者、研究生参会交流。</w:t>
      </w:r>
    </w:p>
    <w:p>
      <w:pPr>
        <w:spacing w:line="300" w:lineRule="auto"/>
        <w:rPr>
          <w:rFonts w:ascii="宋体" w:hAnsi="宋体" w:eastAsia="宋体"/>
          <w:spacing w:val="8"/>
          <w:szCs w:val="21"/>
          <w:shd w:val="clear" w:color="auto" w:fill="FFFFFF"/>
        </w:rPr>
      </w:pPr>
      <w:r>
        <w:drawing>
          <wp:inline distT="0" distB="0" distL="0" distR="0">
            <wp:extent cx="3771900" cy="2027555"/>
            <wp:effectExtent l="0" t="0" r="0" b="0"/>
            <wp:docPr id="26" name="图片 2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片"/>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800636" cy="2043312"/>
                    </a:xfrm>
                    <a:prstGeom prst="rect">
                      <a:avLst/>
                    </a:prstGeom>
                    <a:noFill/>
                    <a:ln>
                      <a:noFill/>
                    </a:ln>
                  </pic:spPr>
                </pic:pic>
              </a:graphicData>
            </a:graphic>
          </wp:inline>
        </w:drawing>
      </w:r>
    </w:p>
    <w:p>
      <w:pPr>
        <w:spacing w:line="300" w:lineRule="auto"/>
        <w:jc w:val="left"/>
        <w:rPr>
          <w:rFonts w:ascii="宋体" w:hAnsi="宋体" w:eastAsia="宋体" w:cstheme="minorEastAsia"/>
          <w:b/>
          <w:bCs/>
        </w:rPr>
      </w:pPr>
      <w:r>
        <w:rPr>
          <w:rFonts w:hint="eastAsia" w:ascii="宋体" w:hAnsi="宋体" w:eastAsia="宋体" w:cstheme="minorEastAsia"/>
          <w:b/>
          <w:bCs/>
        </w:rPr>
        <w:t>2023新能源汽车电驱动系统先进制造技术交流会</w:t>
      </w:r>
    </w:p>
    <w:p>
      <w:pPr>
        <w:spacing w:line="300" w:lineRule="auto"/>
        <w:ind w:firstLine="452" w:firstLineChars="200"/>
        <w:rPr>
          <w:rFonts w:ascii="宋体" w:hAnsi="宋体" w:eastAsia="宋体"/>
          <w:spacing w:val="8"/>
          <w:szCs w:val="21"/>
          <w:shd w:val="clear" w:color="auto" w:fill="FFFFFF"/>
        </w:rPr>
      </w:pPr>
      <w:r>
        <w:rPr>
          <w:rFonts w:hint="eastAsia" w:ascii="宋体" w:hAnsi="宋体" w:eastAsia="宋体"/>
          <w:spacing w:val="8"/>
          <w:szCs w:val="21"/>
          <w:shd w:val="clear" w:color="auto" w:fill="FFFFFF"/>
        </w:rPr>
        <w:t>2023年</w:t>
      </w:r>
      <w:r>
        <w:rPr>
          <w:rFonts w:ascii="宋体" w:hAnsi="宋体" w:eastAsia="宋体"/>
          <w:spacing w:val="8"/>
          <w:szCs w:val="21"/>
          <w:shd w:val="clear" w:color="auto" w:fill="FFFFFF"/>
        </w:rPr>
        <w:t>9</w:t>
      </w:r>
      <w:r>
        <w:rPr>
          <w:rFonts w:hint="eastAsia" w:ascii="宋体" w:hAnsi="宋体" w:eastAsia="宋体"/>
          <w:spacing w:val="8"/>
          <w:szCs w:val="21"/>
          <w:shd w:val="clear" w:color="auto" w:fill="FFFFFF"/>
        </w:rPr>
        <w:t>月1</w:t>
      </w:r>
      <w:r>
        <w:rPr>
          <w:rFonts w:ascii="宋体" w:hAnsi="宋体" w:eastAsia="宋体"/>
          <w:spacing w:val="8"/>
          <w:szCs w:val="21"/>
          <w:shd w:val="clear" w:color="auto" w:fill="FFFFFF"/>
        </w:rPr>
        <w:t>4</w:t>
      </w:r>
      <w:r>
        <w:rPr>
          <w:rFonts w:hint="eastAsia" w:ascii="宋体" w:hAnsi="宋体" w:eastAsia="宋体"/>
          <w:spacing w:val="8"/>
          <w:szCs w:val="21"/>
          <w:shd w:val="clear" w:color="auto" w:fill="FFFFFF"/>
        </w:rPr>
        <w:t>日下午，新能源汽车电驱动系统先进制造技术交流会在武汉国际博览中心</w:t>
      </w:r>
      <w:r>
        <w:rPr>
          <w:rFonts w:ascii="宋体" w:hAnsi="宋体" w:eastAsia="宋体"/>
          <w:spacing w:val="8"/>
          <w:szCs w:val="21"/>
          <w:shd w:val="clear" w:color="auto" w:fill="FFFFFF"/>
        </w:rPr>
        <w:t>B</w:t>
      </w:r>
      <w:r>
        <w:rPr>
          <w:rFonts w:hint="eastAsia" w:ascii="宋体" w:hAnsi="宋体" w:eastAsia="宋体"/>
          <w:spacing w:val="8"/>
          <w:szCs w:val="21"/>
          <w:shd w:val="clear" w:color="auto" w:fill="FFFFFF"/>
        </w:rPr>
        <w:t>馆召开。本次论坛由东风汽车集团有限公司东风技术中心老科协和湖北立嘉会议展览有限公司主办，以“创新、高效、智造”为主题，中国汽车工程学会会士，中国汽车工程学会制造分会名誉主任，东风汽车集团有限公司原副总工程师邹恒琪，中国汽车工程学会制造分会主任，东风汽车集团有限公司技术中心材料总工程师李明桓，中国汽车工程学会制造分会机加分会负责人李喜咏，智新科技股份有限公司研发中心电机工艺主任工程师付博，牧野汽车装备（武汉）有限公司应用部部门经理刘畅，深圳模德宝科技有限公司华东大区总监熊勇等嘉宾出席并做了精彩的报告分享。1</w:t>
      </w:r>
      <w:r>
        <w:rPr>
          <w:rFonts w:ascii="宋体" w:hAnsi="宋体" w:eastAsia="宋体"/>
          <w:spacing w:val="8"/>
          <w:szCs w:val="21"/>
          <w:shd w:val="clear" w:color="auto" w:fill="FFFFFF"/>
        </w:rPr>
        <w:t>00</w:t>
      </w:r>
      <w:r>
        <w:rPr>
          <w:rFonts w:hint="eastAsia" w:ascii="宋体" w:hAnsi="宋体" w:eastAsia="宋体"/>
          <w:spacing w:val="8"/>
          <w:szCs w:val="21"/>
          <w:shd w:val="clear" w:color="auto" w:fill="FFFFFF"/>
        </w:rPr>
        <w:t>多位来自新能源汽车及零部件制造企业、汽车装备制造企业、高校及相关研究机构、新能源汽车的配套供应商共同探讨如何促进高精高效加工技术与设备在实际中的创新应用，推动新能源汽车制造企业智能化发展。</w:t>
      </w:r>
    </w:p>
    <w:p>
      <w:pPr>
        <w:spacing w:line="300" w:lineRule="auto"/>
        <w:rPr>
          <w:rFonts w:ascii="宋体" w:hAnsi="宋体" w:eastAsia="宋体"/>
          <w:spacing w:val="8"/>
          <w:szCs w:val="21"/>
          <w:shd w:val="clear" w:color="auto" w:fill="FFFFFF"/>
        </w:rPr>
      </w:pPr>
      <w:r>
        <w:drawing>
          <wp:inline distT="0" distB="0" distL="0" distR="0">
            <wp:extent cx="3901440" cy="2600960"/>
            <wp:effectExtent l="0" t="0" r="3810" b="8890"/>
            <wp:docPr id="25" name="图片 2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901680" cy="2601120"/>
                    </a:xfrm>
                    <a:prstGeom prst="rect">
                      <a:avLst/>
                    </a:prstGeom>
                    <a:noFill/>
                    <a:ln>
                      <a:noFill/>
                    </a:ln>
                  </pic:spPr>
                </pic:pic>
              </a:graphicData>
            </a:graphic>
          </wp:inline>
        </w:drawing>
      </w:r>
    </w:p>
    <w:p>
      <w:pPr>
        <w:spacing w:line="300" w:lineRule="auto"/>
        <w:rPr>
          <w:rFonts w:ascii="宋体" w:hAnsi="宋体" w:eastAsia="宋体"/>
          <w:b/>
          <w:spacing w:val="8"/>
          <w:szCs w:val="21"/>
          <w:shd w:val="clear" w:color="auto" w:fill="FFFFFF"/>
        </w:rPr>
      </w:pPr>
      <w:r>
        <w:rPr>
          <w:rFonts w:hint="eastAsia" w:ascii="宋体" w:hAnsi="宋体" w:eastAsia="宋体"/>
          <w:b/>
          <w:spacing w:val="8"/>
          <w:szCs w:val="21"/>
          <w:shd w:val="clear" w:color="auto" w:fill="FFFFFF"/>
        </w:rPr>
        <w:t>2023湖北机器人产业高质量发展高峰论坛</w:t>
      </w:r>
    </w:p>
    <w:p>
      <w:pPr>
        <w:spacing w:line="300" w:lineRule="auto"/>
        <w:ind w:firstLine="452" w:firstLineChars="200"/>
        <w:jc w:val="left"/>
        <w:rPr>
          <w:rFonts w:ascii="宋体" w:hAnsi="宋体" w:eastAsia="宋体"/>
          <w:spacing w:val="8"/>
          <w:szCs w:val="21"/>
          <w:shd w:val="clear" w:color="auto" w:fill="FFFFFF"/>
        </w:rPr>
      </w:pPr>
      <w:r>
        <w:rPr>
          <w:rFonts w:hint="eastAsia" w:ascii="宋体" w:hAnsi="宋体" w:eastAsia="宋体"/>
          <w:spacing w:val="8"/>
          <w:szCs w:val="21"/>
          <w:shd w:val="clear" w:color="auto" w:fill="FFFFFF"/>
        </w:rPr>
        <w:t>9月15日上午，在湖北省经信厅、科技厅的指导下，由湖北省中小企业服务中心、湖北省机器人产业技术创新战略联盟主办、湖北立嘉会展展览有限公司、武汉华中数控股份有限公司、武汉金石兴机器人自动化工程有限公司承办的“创新驱动 多方聚能--2023湖北机器人产业高质量发展高峰论坛”在武汉国际博览中心顺利举行。</w:t>
      </w:r>
    </w:p>
    <w:p>
      <w:pPr>
        <w:spacing w:line="300" w:lineRule="auto"/>
        <w:ind w:firstLine="452" w:firstLineChars="200"/>
        <w:jc w:val="left"/>
        <w:rPr>
          <w:rFonts w:ascii="宋体" w:hAnsi="宋体" w:eastAsia="宋体"/>
          <w:spacing w:val="8"/>
          <w:szCs w:val="21"/>
          <w:shd w:val="clear" w:color="auto" w:fill="FFFFFF"/>
        </w:rPr>
      </w:pPr>
      <w:r>
        <w:rPr>
          <w:rFonts w:hint="eastAsia" w:ascii="宋体" w:hAnsi="宋体" w:eastAsia="宋体"/>
          <w:spacing w:val="8"/>
          <w:szCs w:val="21"/>
          <w:shd w:val="clear" w:color="auto" w:fill="FFFFFF"/>
        </w:rPr>
        <w:t>此次会议认真贯彻党的二十大精神，深入落实《“十四五”机器人产业发展规划》、《“机器人+”应用行动实施方案的通知》，湖北省经信厅中心企业服务中心主任李承绘、专精特新服务部副部长陈艳华、湖北省经信厅装备处副处长张晓凤、湖北省标准化与质量研究院高新所所长谢秋琪、湖北省机器人产业技术创新战略联盟理事长徐击水、工信部电子第五研究所研究员谭德家等领导出席会议，会议集聚省内各地机器人产业代表、专家学者、业界精英100余人，遵循着立足发展、探究未来、合作共赢的宗旨，共同交流探讨当前机器人产业发展新趋势，共谋机器人跨界融合新发展。</w:t>
      </w:r>
    </w:p>
    <w:p>
      <w:pPr>
        <w:spacing w:line="300" w:lineRule="auto"/>
        <w:ind w:firstLine="452" w:firstLineChars="200"/>
        <w:jc w:val="left"/>
        <w:rPr>
          <w:rFonts w:ascii="宋体" w:hAnsi="宋体" w:eastAsia="宋体"/>
          <w:spacing w:val="8"/>
          <w:szCs w:val="21"/>
          <w:shd w:val="clear" w:color="auto" w:fill="FFFFFF"/>
        </w:rPr>
      </w:pPr>
      <w:r>
        <w:rPr>
          <w:rFonts w:hint="eastAsia" w:ascii="宋体" w:hAnsi="宋体" w:eastAsia="宋体"/>
          <w:spacing w:val="8"/>
          <w:szCs w:val="21"/>
          <w:shd w:val="clear" w:color="auto" w:fill="FFFFFF"/>
        </w:rPr>
        <w:t>会议以“创新驱动 多方聚能”为主题，从产业基础、政策措施、人才培养、尖端技术、创新发展多角度分析当前机器人产业发展的基础条件，全方位助推湖北机器人产业高质量发展。会议信息量大、典型案例分享说服力强，既体系了湖北省机器人产业的发展特色，又指明了今后做大做强的发展方向，论坛具有代表性、引领性、及时性，有利于快速提升湖北省机器人产业发展质量，推动优势资源要素的深度融合，构建创新驱动发展新格局、新业态、新模式。</w:t>
      </w:r>
    </w:p>
    <w:p>
      <w:pPr>
        <w:spacing w:line="300" w:lineRule="auto"/>
        <w:jc w:val="left"/>
        <w:rPr>
          <w:rFonts w:ascii="宋体" w:hAnsi="宋体" w:eastAsia="宋体"/>
          <w:spacing w:val="8"/>
          <w:szCs w:val="21"/>
          <w:shd w:val="clear" w:color="auto" w:fill="FFFFFF"/>
        </w:rPr>
      </w:pPr>
      <w:r>
        <w:drawing>
          <wp:inline distT="0" distB="0" distL="0" distR="0">
            <wp:extent cx="3840480" cy="2560320"/>
            <wp:effectExtent l="0" t="0" r="7620" b="0"/>
            <wp:docPr id="27" name="图片 2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片"/>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840717" cy="2560478"/>
                    </a:xfrm>
                    <a:prstGeom prst="rect">
                      <a:avLst/>
                    </a:prstGeom>
                    <a:noFill/>
                    <a:ln>
                      <a:noFill/>
                    </a:ln>
                  </pic:spPr>
                </pic:pic>
              </a:graphicData>
            </a:graphic>
          </wp:inline>
        </w:drawing>
      </w:r>
    </w:p>
    <w:p>
      <w:pPr>
        <w:spacing w:line="300" w:lineRule="auto"/>
        <w:jc w:val="left"/>
        <w:rPr>
          <w:rFonts w:ascii="宋体" w:hAnsi="宋体" w:eastAsia="宋体"/>
          <w:spacing w:val="8"/>
          <w:szCs w:val="21"/>
          <w:shd w:val="clear" w:color="auto" w:fill="FFFFFF"/>
        </w:rPr>
      </w:pPr>
    </w:p>
    <w:p>
      <w:pPr>
        <w:spacing w:line="300" w:lineRule="auto"/>
        <w:jc w:val="left"/>
        <w:rPr>
          <w:rFonts w:ascii="宋体" w:hAnsi="宋体" w:eastAsia="宋体"/>
          <w:b/>
          <w:spacing w:val="8"/>
          <w:szCs w:val="21"/>
          <w:shd w:val="clear" w:color="auto" w:fill="FFFFFF"/>
        </w:rPr>
      </w:pPr>
      <w:r>
        <w:rPr>
          <w:rFonts w:hint="eastAsia" w:ascii="宋体" w:hAnsi="宋体" w:eastAsia="宋体"/>
          <w:b/>
          <w:spacing w:val="8"/>
          <w:szCs w:val="21"/>
          <w:shd w:val="clear" w:color="auto" w:fill="FFFFFF"/>
        </w:rPr>
        <w:t>2023先进切削技术应用暨孔加工解决方案交流会</w:t>
      </w:r>
    </w:p>
    <w:p>
      <w:pPr>
        <w:spacing w:line="300" w:lineRule="auto"/>
        <w:jc w:val="left"/>
        <w:rPr>
          <w:rFonts w:ascii="宋体" w:hAnsi="宋体" w:eastAsia="宋体"/>
          <w:spacing w:val="8"/>
          <w:szCs w:val="21"/>
          <w:shd w:val="clear" w:color="auto" w:fill="FFFFFF"/>
        </w:rPr>
      </w:pPr>
      <w:r>
        <w:rPr>
          <w:rFonts w:hint="eastAsia" w:ascii="宋体" w:hAnsi="宋体" w:eastAsia="宋体"/>
          <w:b/>
          <w:spacing w:val="8"/>
          <w:szCs w:val="21"/>
          <w:shd w:val="clear" w:color="auto" w:fill="FFFFFF"/>
        </w:rPr>
        <w:t xml:space="preserve"> </w:t>
      </w:r>
      <w:r>
        <w:rPr>
          <w:rFonts w:ascii="宋体" w:hAnsi="宋体" w:eastAsia="宋体"/>
          <w:b/>
          <w:spacing w:val="8"/>
          <w:szCs w:val="21"/>
          <w:shd w:val="clear" w:color="auto" w:fill="FFFFFF"/>
        </w:rPr>
        <w:t xml:space="preserve">  </w:t>
      </w:r>
      <w:r>
        <w:rPr>
          <w:rFonts w:hint="eastAsia" w:ascii="宋体" w:hAnsi="宋体" w:eastAsia="宋体"/>
          <w:spacing w:val="8"/>
          <w:szCs w:val="21"/>
          <w:shd w:val="clear" w:color="auto" w:fill="FFFFFF"/>
        </w:rPr>
        <w:t>2023年9月15日，由武汉国际机床展组委会、湖北省模具工业协会主办，东莞市精准精密机械有限公司、武汉耐斯刀具有限公司支持，武汉国际机床展组委会承办的2023先进切削技术应用暨孔加工解决方案交流会在武汉国际博览中心举行。本次交流会以“高效率·高精度·高品质”为主题，由东风汽车集团公司机加工专家、立嘉顾问曾凯红主持，</w:t>
      </w:r>
      <w:r>
        <w:rPr>
          <w:rFonts w:hint="eastAsia" w:ascii="宋体" w:hAnsi="宋体" w:eastAsia="宋体" w:cs="Arial"/>
        </w:rPr>
        <w:t>武汉理工大学机电学院副教授庄可佳、</w:t>
      </w:r>
      <w:r>
        <w:rPr>
          <w:rFonts w:hint="eastAsia" w:ascii="宋体" w:hAnsi="宋体" w:eastAsia="宋体"/>
        </w:rPr>
        <w:t>东莞市精准精密机械有限公司</w:t>
      </w:r>
      <w:r>
        <w:rPr>
          <w:rFonts w:hint="eastAsia" w:ascii="宋体" w:hAnsi="宋体" w:eastAsia="宋体" w:cs="Arial"/>
        </w:rPr>
        <w:t>董事总经理李伟忠、</w:t>
      </w:r>
      <w:r>
        <w:rPr>
          <w:rFonts w:hint="eastAsia" w:ascii="宋体" w:hAnsi="宋体" w:eastAsia="宋体" w:cs="宋体"/>
        </w:rPr>
        <w:t>武汉耐斯刀具有限公司总经理梁雪锋等嘉宾出席并做了相关报告，围绕深孔、微孔、精密孔等难点孔加工主题，以新技术、新设备、新工艺为纽带，让参会人员进一步了解中国切削刀具行业自身的发展状况。</w:t>
      </w:r>
    </w:p>
    <w:p>
      <w:pPr>
        <w:spacing w:line="300" w:lineRule="auto"/>
        <w:jc w:val="left"/>
        <w:rPr>
          <w:rFonts w:ascii="宋体" w:hAnsi="宋体" w:eastAsia="宋体"/>
          <w:spacing w:val="8"/>
          <w:szCs w:val="21"/>
          <w:shd w:val="clear" w:color="auto" w:fill="FFFFFF"/>
        </w:rPr>
      </w:pPr>
      <w:r>
        <w:drawing>
          <wp:inline distT="0" distB="0" distL="0" distR="0">
            <wp:extent cx="3925570" cy="2186940"/>
            <wp:effectExtent l="0" t="0" r="0" b="3810"/>
            <wp:docPr id="28" name="图片 2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936113" cy="2192561"/>
                    </a:xfrm>
                    <a:prstGeom prst="rect">
                      <a:avLst/>
                    </a:prstGeom>
                    <a:noFill/>
                    <a:ln>
                      <a:noFill/>
                    </a:ln>
                  </pic:spPr>
                </pic:pic>
              </a:graphicData>
            </a:graphic>
          </wp:inline>
        </w:drawing>
      </w:r>
    </w:p>
    <w:p>
      <w:pPr>
        <w:spacing w:line="300" w:lineRule="auto"/>
        <w:jc w:val="left"/>
        <w:rPr>
          <w:rFonts w:ascii="宋体" w:hAnsi="宋体" w:eastAsia="宋体" w:cstheme="minorEastAsia"/>
          <w:b/>
          <w:bCs/>
        </w:rPr>
      </w:pPr>
      <w:r>
        <w:rPr>
          <w:rFonts w:hint="eastAsia" w:ascii="宋体" w:hAnsi="宋体" w:eastAsia="宋体" w:cstheme="minorEastAsia"/>
          <w:b/>
          <w:bCs/>
        </w:rPr>
        <w:t>2023湖北模具产业发展高峰论坛暨湖北省模具职业教育集团开学第一课</w:t>
      </w:r>
    </w:p>
    <w:p>
      <w:pPr>
        <w:spacing w:line="300" w:lineRule="auto"/>
        <w:ind w:firstLine="452" w:firstLineChars="200"/>
        <w:jc w:val="left"/>
        <w:rPr>
          <w:rFonts w:ascii="宋体" w:hAnsi="宋体" w:eastAsia="宋体"/>
          <w:spacing w:val="8"/>
          <w:szCs w:val="21"/>
          <w:shd w:val="clear" w:color="auto" w:fill="FFFFFF"/>
        </w:rPr>
      </w:pPr>
      <w:r>
        <w:rPr>
          <w:rFonts w:hint="eastAsia" w:ascii="宋体" w:hAnsi="宋体" w:eastAsia="宋体"/>
          <w:spacing w:val="8"/>
          <w:szCs w:val="21"/>
          <w:shd w:val="clear" w:color="auto" w:fill="FFFFFF"/>
        </w:rPr>
        <w:t>2023年9月15日，由湖北省模具工业协会、湖北省模具职业教育集团（鄂州职业大学）、湖北省机械工程学会塑性工程专业委员会主办，增材制造技术职业教育联盟（武汉职业技术学院）、湖北智能制造职业教育集团（武汉软件工程职业学院）、湖北模具产业技术创新联盟（黄石科创模具技术研究院）、鄂东职业教育集团（湖北工程职业学院）、湖北立嘉会议展览有限公司协办的“2023湖北模具产业发展高峰论坛暨湖北省模具职业教育集团开学第一课”在武汉国博中心举行。</w:t>
      </w:r>
    </w:p>
    <w:p>
      <w:pPr>
        <w:spacing w:line="300" w:lineRule="auto"/>
        <w:jc w:val="left"/>
        <w:rPr>
          <w:rFonts w:ascii="宋体" w:hAnsi="宋体" w:eastAsia="宋体"/>
          <w:spacing w:val="8"/>
          <w:szCs w:val="21"/>
          <w:shd w:val="clear" w:color="auto" w:fill="FFFFFF"/>
        </w:rPr>
      </w:pPr>
      <w:r>
        <w:rPr>
          <w:rFonts w:hint="eastAsia" w:ascii="宋体" w:hAnsi="宋体" w:eastAsia="宋体"/>
          <w:spacing w:val="8"/>
          <w:szCs w:val="21"/>
          <w:shd w:val="clear" w:color="auto" w:fill="FFFFFF"/>
        </w:rPr>
        <w:t xml:space="preserve">    出席本次高峰论坛的主要嘉宾有：鄂州职业大学何保华校长，鄂州职业大学科技产业与对外合作处处长肖力，华中科技大学张宜生教授、张云教授，武汉理工大学宋燕利教授，鄂州职业大学机械学院刘宏文院长，武汉富士康金机虎彭兵厂区主管，武汉科尔精密科技有限公司高建军总经理，湖北大学曹志勇教授，湖北婺商模具城开发有限公司周飞总经理助理，武汉轻工大学贺战文副教授，东风模冲模具分公司何劲松副总工程师，武汉富士康科技集团付廷华副理，武汉瑞吉特工装设备有限公司杨发总经理，湖北方圆特钢精密制造有限公司吴明经理，湖北省模具工业协会梁培志秘书长。</w:t>
      </w:r>
    </w:p>
    <w:p>
      <w:pPr>
        <w:spacing w:line="300" w:lineRule="auto"/>
        <w:jc w:val="left"/>
        <w:rPr>
          <w:rFonts w:ascii="宋体" w:hAnsi="宋体" w:eastAsia="宋体"/>
          <w:spacing w:val="8"/>
          <w:szCs w:val="21"/>
          <w:shd w:val="clear" w:color="auto" w:fill="FFFFFF"/>
        </w:rPr>
      </w:pPr>
      <w:r>
        <w:rPr>
          <w:rFonts w:hint="eastAsia" w:ascii="宋体" w:hAnsi="宋体" w:eastAsia="宋体"/>
          <w:spacing w:val="8"/>
          <w:szCs w:val="21"/>
          <w:shd w:val="clear" w:color="auto" w:fill="FFFFFF"/>
        </w:rPr>
        <w:t xml:space="preserve">      高峰论坛由湖北省模具工业协会梁培志秘书长主持，在介绍完出席会议的主要嘉宾后，来自鄂州职业大学何保华校长代表鄂州职业大学及湖北省模具职业教育集团讲话。他首先介绍了鄂大机械学院模具等相关专业的学科建设及发展概况，并诚挚邀请专家、企业家到鄂州职业大学参观交流，共同把职教集团建设得更好。本次论坛暨开学第一课活动可谓是专家云集，希望青年学生们认真上好本次“开学第一课”，能有所收获，不虚此行。</w:t>
      </w:r>
    </w:p>
    <w:p>
      <w:pPr>
        <w:spacing w:line="300" w:lineRule="auto"/>
        <w:jc w:val="left"/>
        <w:rPr>
          <w:rFonts w:ascii="宋体" w:hAnsi="宋体" w:eastAsia="宋体"/>
          <w:spacing w:val="8"/>
          <w:szCs w:val="21"/>
          <w:shd w:val="clear" w:color="auto" w:fill="FFFFFF"/>
        </w:rPr>
      </w:pPr>
      <w:r>
        <w:drawing>
          <wp:inline distT="0" distB="0" distL="0" distR="0">
            <wp:extent cx="3714750" cy="2476500"/>
            <wp:effectExtent l="0" t="0" r="0" b="0"/>
            <wp:docPr id="30" name="图片 3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714978" cy="2476652"/>
                    </a:xfrm>
                    <a:prstGeom prst="rect">
                      <a:avLst/>
                    </a:prstGeom>
                    <a:noFill/>
                    <a:ln>
                      <a:noFill/>
                    </a:ln>
                  </pic:spPr>
                </pic:pic>
              </a:graphicData>
            </a:graphic>
          </wp:inline>
        </w:drawing>
      </w:r>
    </w:p>
    <w:p>
      <w:pPr>
        <w:spacing w:line="300" w:lineRule="auto"/>
        <w:rPr>
          <w:rFonts w:ascii="宋体" w:hAnsi="宋体" w:eastAsia="宋体"/>
          <w:b/>
        </w:rPr>
      </w:pPr>
      <w:r>
        <w:rPr>
          <w:rFonts w:hint="eastAsia" w:ascii="宋体" w:hAnsi="宋体" w:eastAsia="宋体"/>
          <w:b/>
        </w:rPr>
        <w:t>2023先进激光加工技术交流会</w:t>
      </w:r>
    </w:p>
    <w:p>
      <w:pPr>
        <w:spacing w:line="300" w:lineRule="auto"/>
        <w:rPr>
          <w:rFonts w:ascii="宋体" w:hAnsi="宋体" w:eastAsia="宋体"/>
        </w:rPr>
      </w:pPr>
      <w:r>
        <w:rPr>
          <w:rFonts w:hint="eastAsia" w:ascii="宋体" w:hAnsi="宋体" w:eastAsia="宋体"/>
        </w:rPr>
        <w:t xml:space="preserve"> </w:t>
      </w:r>
      <w:r>
        <w:rPr>
          <w:rFonts w:ascii="宋体" w:hAnsi="宋体" w:eastAsia="宋体"/>
        </w:rPr>
        <w:t xml:space="preserve"> </w:t>
      </w:r>
      <w:r>
        <w:rPr>
          <w:rFonts w:hint="eastAsia" w:ascii="宋体" w:hAnsi="宋体" w:eastAsia="宋体"/>
        </w:rPr>
        <w:t>9月16日，由武汉激光学会联合湖北省激光学会、武汉·中国光谷激光行业协会、武汉国际机床展组委会共同主办的2023先进激光加工技术交流会在武汉国际博览中心成功举行。</w:t>
      </w:r>
    </w:p>
    <w:p>
      <w:pPr>
        <w:spacing w:line="300" w:lineRule="auto"/>
        <w:rPr>
          <w:rFonts w:ascii="宋体" w:hAnsi="宋体" w:eastAsia="宋体"/>
        </w:rPr>
      </w:pPr>
      <w:r>
        <w:rPr>
          <w:rFonts w:hint="eastAsia" w:ascii="宋体" w:hAnsi="宋体" w:eastAsia="宋体"/>
        </w:rPr>
        <w:t>武汉激光学会秘书长、华中科技大学秦应雄教授；湖北立嘉会议展览有限公司总经理陈琪、中国光学学会激光加工专委会副秘书长刘善琨、武汉·中国光谷激光行业协会秘书长汤阳、岚图汽车金属材料工程师刘勇、三菱电机自动化（中国）有限公司经理朱晶晶等参与会议，激光及汽车行业使用激光的有关研究所、企业代表80余人参会，武汉激光学会秘书长秦应雄主持会议。</w:t>
      </w:r>
    </w:p>
    <w:p>
      <w:pPr>
        <w:spacing w:line="300" w:lineRule="auto"/>
        <w:ind w:firstLine="420" w:firstLineChars="200"/>
        <w:rPr>
          <w:rFonts w:ascii="宋体" w:hAnsi="宋体" w:eastAsia="宋体"/>
        </w:rPr>
      </w:pPr>
      <w:r>
        <w:rPr>
          <w:rFonts w:hint="eastAsia" w:ascii="宋体" w:hAnsi="宋体" w:eastAsia="宋体"/>
        </w:rPr>
        <w:t>秦应雄在致辞中说，激光先进制造技术是提高生产效率，助力企业“降本增效”的重要技术手段，本次会议聚集众多学者及企业代表共同商讨激光先进加工技术的技术进展及应用场景，为更好地促进科技成果转化，促进企业进一步发展提供了合作交流的平台。</w:t>
      </w:r>
    </w:p>
    <w:p>
      <w:pPr>
        <w:spacing w:line="300" w:lineRule="auto"/>
        <w:rPr>
          <w:rFonts w:ascii="宋体" w:hAnsi="宋体" w:eastAsia="宋体"/>
        </w:rPr>
      </w:pPr>
      <w:r>
        <w:rPr>
          <w:rFonts w:hint="eastAsia" w:ascii="宋体" w:hAnsi="宋体" w:eastAsia="宋体"/>
        </w:rPr>
        <w:t xml:space="preserve">  </w:t>
      </w:r>
      <w:r>
        <w:rPr>
          <w:rFonts w:ascii="宋体" w:hAnsi="宋体" w:eastAsia="宋体"/>
        </w:rPr>
        <w:t xml:space="preserve"> </w:t>
      </w:r>
      <w:r>
        <w:rPr>
          <w:rFonts w:hint="eastAsia" w:ascii="宋体" w:hAnsi="宋体" w:eastAsia="宋体"/>
        </w:rPr>
        <w:t>激光技术的高速发展使人类已经步入了“激光制造时代”，先进激光加工技术不仅能提高生产质量，还能优化生产布局，节约生产空间，促进规模化生产下成本降低。本次技术交流会的主题围绕如何促进激光用户企业降低成本，提高生产效率展开，同时带来激光在新材料、新行业的应用解决方案。</w:t>
      </w:r>
    </w:p>
    <w:p>
      <w:pPr>
        <w:spacing w:line="300" w:lineRule="auto"/>
        <w:rPr>
          <w:rFonts w:ascii="宋体" w:hAnsi="宋体" w:eastAsia="宋体"/>
        </w:rPr>
      </w:pPr>
      <w:r>
        <w:drawing>
          <wp:inline distT="0" distB="0" distL="0" distR="0">
            <wp:extent cx="3604260" cy="2704465"/>
            <wp:effectExtent l="0" t="0" r="0" b="635"/>
            <wp:docPr id="33" name="图片 33" descr="https://mmbiz.qpic.cn/sz_mmbiz_jpg/1aiahAJThhpyC4gjciacDFiaicqs0h0QxtrjRBqPzjkwAXcLymKGicnbsC2bRsztMiaU0fNg9DtCLwmk5KsyM19S616g/640?wx_fmt=jpeg&amp;wxfrom=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https://mmbiz.qpic.cn/sz_mmbiz_jpg/1aiahAJThhpyC4gjciacDFiaicqs0h0QxtrjRBqPzjkwAXcLymKGicnbsC2bRsztMiaU0fNg9DtCLwmk5KsyM19S616g/640?wx_fmt=jpeg&amp;wxfrom=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611163" cy="2709710"/>
                    </a:xfrm>
                    <a:prstGeom prst="rect">
                      <a:avLst/>
                    </a:prstGeom>
                    <a:noFill/>
                    <a:ln>
                      <a:noFill/>
                    </a:ln>
                  </pic:spPr>
                </pic:pic>
              </a:graphicData>
            </a:graphic>
          </wp:inline>
        </w:drawing>
      </w:r>
    </w:p>
    <w:p>
      <w:pPr>
        <w:spacing w:line="300" w:lineRule="auto"/>
        <w:rPr>
          <w:rFonts w:ascii="宋体" w:hAnsi="宋体" w:eastAsia="宋体"/>
          <w:b/>
        </w:rPr>
      </w:pPr>
      <w:r>
        <w:rPr>
          <w:rFonts w:hint="eastAsia" w:ascii="宋体" w:hAnsi="宋体" w:eastAsia="宋体"/>
          <w:b/>
        </w:rPr>
        <w:t>湖北省绿色再制造及维修联盟成立大会暨论坛</w:t>
      </w:r>
    </w:p>
    <w:p>
      <w:pPr>
        <w:spacing w:line="300" w:lineRule="auto"/>
        <w:ind w:firstLine="420" w:firstLineChars="200"/>
        <w:rPr>
          <w:rFonts w:ascii="宋体" w:hAnsi="宋体" w:eastAsia="宋体"/>
        </w:rPr>
      </w:pPr>
      <w:r>
        <w:rPr>
          <w:rFonts w:hint="eastAsia" w:ascii="宋体" w:hAnsi="宋体" w:eastAsia="宋体"/>
        </w:rPr>
        <w:t>为了推动绿色再制造技术的应用，提高装备制造业技术改造的能力，推进我省再制造产业规范化、绿色化、规模化发展，加强再制造产业链上下游配套合作，2023年9月</w:t>
      </w:r>
      <w:r>
        <w:rPr>
          <w:rFonts w:ascii="宋体" w:hAnsi="宋体" w:eastAsia="宋体"/>
        </w:rPr>
        <w:t>16</w:t>
      </w:r>
      <w:r>
        <w:rPr>
          <w:rFonts w:hint="eastAsia" w:ascii="宋体" w:hAnsi="宋体" w:eastAsia="宋体"/>
        </w:rPr>
        <w:t>日，湖北省绿色再制造及维修联盟成立大会暨论坛在武汉国际博览中心召开，本届论坛以“智能运维、绿色再制造—产业驱动未来”为主题，由湖北励图智能装备有限公司，董事长，湖北省润滑油协会会长张军主持并做了精彩的分享，会上宣布了湖北省绿色再制造及维修联盟成立，以及2</w:t>
      </w:r>
      <w:r>
        <w:rPr>
          <w:rFonts w:ascii="宋体" w:hAnsi="宋体" w:eastAsia="宋体"/>
        </w:rPr>
        <w:t>0</w:t>
      </w:r>
      <w:r>
        <w:rPr>
          <w:rFonts w:hint="eastAsia" w:ascii="宋体" w:hAnsi="宋体" w:eastAsia="宋体"/>
        </w:rPr>
        <w:t>多家湖北省内的联盟企业在联盟公约签字， 中国机床工具工业协会专家、立嘉技术专家顾问围绕发挥地域优势创绿色新天地做了主题报告，活动现场反响热烈，联盟企业达成一致约定，共同整合提升再制造产业链，促进再制造产业发展。</w:t>
      </w:r>
    </w:p>
    <w:p>
      <w:pPr>
        <w:spacing w:line="300" w:lineRule="auto"/>
        <w:rPr>
          <w:rFonts w:ascii="宋体" w:hAnsi="宋体" w:eastAsia="宋体"/>
        </w:rPr>
      </w:pPr>
      <w:r>
        <w:drawing>
          <wp:inline distT="0" distB="0" distL="0" distR="0">
            <wp:extent cx="4145280" cy="2379345"/>
            <wp:effectExtent l="0" t="0" r="7620" b="1905"/>
            <wp:docPr id="31" name="图片 3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156299" cy="2386024"/>
                    </a:xfrm>
                    <a:prstGeom prst="rect">
                      <a:avLst/>
                    </a:prstGeom>
                    <a:noFill/>
                    <a:ln>
                      <a:noFill/>
                    </a:ln>
                  </pic:spPr>
                </pic:pic>
              </a:graphicData>
            </a:graphic>
          </wp:inline>
        </w:drawing>
      </w:r>
    </w:p>
    <w:p>
      <w:pPr>
        <w:spacing w:line="300" w:lineRule="auto"/>
        <w:rPr>
          <w:rFonts w:ascii="宋体" w:hAnsi="宋体" w:eastAsia="宋体"/>
          <w:b/>
        </w:rPr>
      </w:pPr>
    </w:p>
    <w:p>
      <w:pPr>
        <w:spacing w:line="300" w:lineRule="auto"/>
        <w:rPr>
          <w:rFonts w:ascii="宋体" w:hAnsi="宋体" w:eastAsia="宋体"/>
          <w:b/>
          <w:sz w:val="24"/>
        </w:rPr>
      </w:pPr>
      <w:r>
        <w:rPr>
          <w:rFonts w:hint="eastAsia" w:ascii="宋体" w:hAnsi="宋体" w:eastAsia="宋体"/>
          <w:b/>
          <w:sz w:val="24"/>
        </w:rPr>
        <w:t>五、深入市场精准投放、线上、线下宣传重拳出击</w:t>
      </w:r>
    </w:p>
    <w:p>
      <w:pPr>
        <w:spacing w:line="300" w:lineRule="auto"/>
        <w:ind w:firstLine="420" w:firstLineChars="200"/>
        <w:rPr>
          <w:rFonts w:ascii="宋体" w:hAnsi="宋体" w:eastAsia="宋体"/>
        </w:rPr>
      </w:pPr>
      <w:r>
        <w:rPr>
          <w:rFonts w:hint="eastAsia" w:ascii="宋体" w:hAnsi="宋体" w:eastAsia="宋体"/>
        </w:rPr>
        <w:t>为方便未到场的观众可以一览展会风采，本次展会开启“双线展会”模式与观众见面。汇集展商展品展示、预约洽谈、海报邀约、数据统计、观众报名、图文直播、会议直播、电子邀请函、展商/展品/展位号检索等功能为一体的交互式应用工具，可以从公众号直接进入线上展。</w:t>
      </w:r>
    </w:p>
    <w:p>
      <w:pPr>
        <w:spacing w:line="300" w:lineRule="auto"/>
        <w:ind w:firstLine="420" w:firstLineChars="200"/>
        <w:rPr>
          <w:rFonts w:ascii="宋体" w:hAnsi="宋体" w:eastAsia="宋体"/>
        </w:rPr>
      </w:pPr>
      <w:r>
        <w:rPr>
          <w:rFonts w:hint="eastAsia" w:ascii="宋体" w:hAnsi="宋体" w:eastAsia="宋体"/>
        </w:rPr>
        <w:t>为使专业采购商深入、及时了解展会，并届时莅临现场参观交流，展会组委会在8月中旬陆续走访武汉周边的工业园区，和专业观众面对面沟通。</w:t>
      </w:r>
    </w:p>
    <w:p>
      <w:pPr>
        <w:spacing w:line="300" w:lineRule="auto"/>
        <w:ind w:firstLine="420" w:firstLineChars="200"/>
        <w:rPr>
          <w:rFonts w:ascii="宋体" w:hAnsi="宋体" w:eastAsia="宋体"/>
        </w:rPr>
      </w:pPr>
      <w:r>
        <w:rPr>
          <w:rFonts w:hint="eastAsia" w:ascii="宋体" w:hAnsi="宋体" w:eastAsia="宋体"/>
        </w:rPr>
        <w:t>为更好服务观众，让观众及时了解展会动态、参展企业、展会新品、同期活动等，组委会对一批专业采购商及专业观众邮寄了4万份本届展会的参观指南。</w:t>
      </w:r>
    </w:p>
    <w:p>
      <w:pPr>
        <w:spacing w:line="300" w:lineRule="auto"/>
        <w:ind w:firstLine="420" w:firstLineChars="200"/>
        <w:rPr>
          <w:rFonts w:ascii="宋体" w:hAnsi="宋体" w:eastAsia="宋体"/>
        </w:rPr>
      </w:pPr>
      <w:r>
        <w:rPr>
          <w:rFonts w:hint="eastAsia" w:ascii="宋体" w:hAnsi="宋体" w:eastAsia="宋体"/>
        </w:rPr>
        <w:t>为持续提高展会品牌活跃度，扩大展会品牌影响力，组委会加强线上+线下品牌宣传力度。整合移动互联网、2</w:t>
      </w:r>
      <w:r>
        <w:rPr>
          <w:rFonts w:ascii="宋体" w:hAnsi="宋体" w:eastAsia="宋体"/>
        </w:rPr>
        <w:t>00+</w:t>
      </w:r>
      <w:r>
        <w:rPr>
          <w:rFonts w:hint="eastAsia" w:ascii="宋体" w:hAnsi="宋体" w:eastAsia="宋体"/>
        </w:rPr>
        <w:t>新媒体等资源，在抖音平台、微信朋友圈、官方微信公众号、手机短信、社交群等渠道推广。</w:t>
      </w:r>
    </w:p>
    <w:p>
      <w:pPr>
        <w:spacing w:line="300" w:lineRule="auto"/>
        <w:rPr>
          <w:rFonts w:ascii="宋体" w:hAnsi="宋体" w:eastAsia="宋体"/>
          <w:b/>
        </w:rPr>
      </w:pPr>
      <w:r>
        <w:drawing>
          <wp:inline distT="0" distB="0" distL="0" distR="0">
            <wp:extent cx="2612390" cy="1798955"/>
            <wp:effectExtent l="0" t="0" r="0" b="0"/>
            <wp:docPr id="35" name="图片 3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片"/>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632771" cy="1813358"/>
                    </a:xfrm>
                    <a:prstGeom prst="rect">
                      <a:avLst/>
                    </a:prstGeom>
                    <a:noFill/>
                    <a:ln>
                      <a:noFill/>
                    </a:ln>
                  </pic:spPr>
                </pic:pic>
              </a:graphicData>
            </a:graphic>
          </wp:inline>
        </w:drawing>
      </w:r>
      <w:r>
        <w:rPr>
          <w:rFonts w:hint="eastAsia" w:ascii="宋体" w:hAnsi="宋体" w:eastAsia="宋体"/>
          <w:b/>
        </w:rPr>
        <w:t xml:space="preserve"> </w:t>
      </w:r>
      <w:r>
        <w:rPr>
          <w:rFonts w:ascii="宋体" w:hAnsi="宋体" w:eastAsia="宋体"/>
          <w:b/>
        </w:rPr>
        <w:t xml:space="preserve"> </w:t>
      </w:r>
      <w:r>
        <w:drawing>
          <wp:inline distT="0" distB="0" distL="0" distR="0">
            <wp:extent cx="2400300" cy="1800860"/>
            <wp:effectExtent l="0" t="0" r="0" b="8890"/>
            <wp:docPr id="36" name="图片 3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425352" cy="1819915"/>
                    </a:xfrm>
                    <a:prstGeom prst="rect">
                      <a:avLst/>
                    </a:prstGeom>
                    <a:noFill/>
                    <a:ln>
                      <a:noFill/>
                    </a:ln>
                  </pic:spPr>
                </pic:pic>
              </a:graphicData>
            </a:graphic>
          </wp:inline>
        </w:drawing>
      </w:r>
    </w:p>
    <w:p>
      <w:pPr>
        <w:spacing w:line="300" w:lineRule="auto"/>
        <w:rPr>
          <w:rFonts w:ascii="宋体" w:hAnsi="宋体" w:eastAsia="宋体"/>
          <w:b/>
        </w:rPr>
      </w:pPr>
      <w:r>
        <w:drawing>
          <wp:inline distT="0" distB="0" distL="0" distR="0">
            <wp:extent cx="4955540" cy="8458200"/>
            <wp:effectExtent l="0" t="0" r="0" b="0"/>
            <wp:docPr id="37" name="图片 3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片"/>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1382" cy="8467424"/>
                    </a:xfrm>
                    <a:prstGeom prst="rect">
                      <a:avLst/>
                    </a:prstGeom>
                    <a:noFill/>
                    <a:ln>
                      <a:noFill/>
                    </a:ln>
                  </pic:spPr>
                </pic:pic>
              </a:graphicData>
            </a:graphic>
          </wp:inline>
        </w:drawing>
      </w:r>
    </w:p>
    <w:p>
      <w:pPr>
        <w:spacing w:line="300" w:lineRule="auto"/>
        <w:rPr>
          <w:rFonts w:ascii="宋体" w:hAnsi="宋体" w:eastAsia="宋体"/>
          <w:b/>
        </w:rPr>
      </w:pPr>
    </w:p>
    <w:p>
      <w:pPr>
        <w:widowControl/>
        <w:ind w:firstLine="456" w:firstLineChars="200"/>
        <w:jc w:val="left"/>
        <w:rPr>
          <w:rFonts w:ascii="宋体" w:hAnsi="宋体" w:eastAsia="宋体"/>
          <w:color w:val="000000"/>
          <w:spacing w:val="9"/>
          <w:szCs w:val="21"/>
          <w:shd w:val="clear" w:color="auto" w:fill="FFFFFF"/>
        </w:rPr>
      </w:pPr>
      <w:r>
        <w:rPr>
          <w:rFonts w:hint="eastAsia" w:ascii="宋体" w:hAnsi="宋体" w:eastAsia="宋体"/>
          <w:color w:val="000000"/>
          <w:spacing w:val="9"/>
          <w:szCs w:val="21"/>
          <w:shd w:val="clear" w:color="auto" w:fill="FFFFFF"/>
        </w:rPr>
        <w:t>展会前中后期，获武汉电视台一台新闻综合频道、长江日报、人民日报、掌上武汉、大武汉客户端、腾讯新闻、东方今报等主流媒体采访报道，以及城投集团微信公众号、行业专业媒体机械工程师杂志社、磨削世界杂志社、现代机床杂志社、QC检测仪器网、刀具界杂志社、行讯金属加工网、机床工具制造业杂志社、机床市场采购网、机床制造产业杂志社、机器人技术与应用杂志社、模具制造杂志社、天下机械网等1</w:t>
      </w:r>
      <w:r>
        <w:rPr>
          <w:rFonts w:ascii="宋体" w:hAnsi="宋体" w:eastAsia="宋体"/>
          <w:color w:val="000000"/>
          <w:spacing w:val="9"/>
          <w:szCs w:val="21"/>
          <w:shd w:val="clear" w:color="auto" w:fill="FFFFFF"/>
        </w:rPr>
        <w:t>00</w:t>
      </w:r>
      <w:r>
        <w:rPr>
          <w:rFonts w:hint="eastAsia" w:ascii="宋体" w:hAnsi="宋体" w:eastAsia="宋体"/>
          <w:color w:val="000000"/>
          <w:spacing w:val="9"/>
          <w:szCs w:val="21"/>
          <w:shd w:val="clear" w:color="auto" w:fill="FFFFFF"/>
        </w:rPr>
        <w:t>多家行业合作媒体集中发声。</w:t>
      </w:r>
    </w:p>
    <w:p>
      <w:pPr>
        <w:spacing w:line="300" w:lineRule="auto"/>
      </w:pPr>
      <w:r>
        <w:drawing>
          <wp:inline distT="0" distB="0" distL="0" distR="0">
            <wp:extent cx="2613660" cy="1461135"/>
            <wp:effectExtent l="0" t="0" r="0" b="571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9"/>
                    <a:stretch>
                      <a:fillRect/>
                    </a:stretch>
                  </pic:blipFill>
                  <pic:spPr>
                    <a:xfrm>
                      <a:off x="0" y="0"/>
                      <a:ext cx="2640107" cy="1476121"/>
                    </a:xfrm>
                    <a:prstGeom prst="rect">
                      <a:avLst/>
                    </a:prstGeom>
                  </pic:spPr>
                </pic:pic>
              </a:graphicData>
            </a:graphic>
          </wp:inline>
        </w:drawing>
      </w:r>
      <w:r>
        <w:t xml:space="preserve"> </w:t>
      </w:r>
      <w:r>
        <w:drawing>
          <wp:inline distT="0" distB="0" distL="0" distR="0">
            <wp:extent cx="2531110" cy="1440815"/>
            <wp:effectExtent l="0" t="0" r="2540" b="698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0"/>
                    <a:stretch>
                      <a:fillRect/>
                    </a:stretch>
                  </pic:blipFill>
                  <pic:spPr>
                    <a:xfrm>
                      <a:off x="0" y="0"/>
                      <a:ext cx="2553215" cy="1453051"/>
                    </a:xfrm>
                    <a:prstGeom prst="rect">
                      <a:avLst/>
                    </a:prstGeom>
                  </pic:spPr>
                </pic:pic>
              </a:graphicData>
            </a:graphic>
          </wp:inline>
        </w:drawing>
      </w:r>
    </w:p>
    <w:p>
      <w:pPr>
        <w:spacing w:line="300" w:lineRule="auto"/>
        <w:rPr>
          <w:rFonts w:ascii="宋体" w:hAnsi="宋体" w:eastAsia="宋体"/>
          <w:b/>
        </w:rPr>
      </w:pPr>
      <w:r>
        <w:drawing>
          <wp:inline distT="0" distB="0" distL="0" distR="0">
            <wp:extent cx="2590800" cy="147066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1"/>
                    <a:stretch>
                      <a:fillRect/>
                    </a:stretch>
                  </pic:blipFill>
                  <pic:spPr>
                    <a:xfrm>
                      <a:off x="0" y="0"/>
                      <a:ext cx="2609949" cy="1481884"/>
                    </a:xfrm>
                    <a:prstGeom prst="rect">
                      <a:avLst/>
                    </a:prstGeom>
                  </pic:spPr>
                </pic:pic>
              </a:graphicData>
            </a:graphic>
          </wp:inline>
        </w:drawing>
      </w:r>
      <w:r>
        <w:rPr>
          <w:rFonts w:hint="eastAsia" w:ascii="宋体" w:hAnsi="宋体" w:eastAsia="宋体"/>
          <w:b/>
        </w:rPr>
        <w:t xml:space="preserve"> </w:t>
      </w:r>
      <w:r>
        <w:drawing>
          <wp:inline distT="0" distB="0" distL="0" distR="0">
            <wp:extent cx="2567940" cy="1362075"/>
            <wp:effectExtent l="0" t="0" r="3810"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2"/>
                    <a:stretch>
                      <a:fillRect/>
                    </a:stretch>
                  </pic:blipFill>
                  <pic:spPr>
                    <a:xfrm>
                      <a:off x="0" y="0"/>
                      <a:ext cx="2626734" cy="1393692"/>
                    </a:xfrm>
                    <a:prstGeom prst="rect">
                      <a:avLst/>
                    </a:prstGeom>
                  </pic:spPr>
                </pic:pic>
              </a:graphicData>
            </a:graphic>
          </wp:inline>
        </w:drawing>
      </w:r>
    </w:p>
    <w:p>
      <w:pPr>
        <w:spacing w:line="300" w:lineRule="auto"/>
        <w:rPr>
          <w:rFonts w:ascii="宋体" w:hAnsi="宋体" w:eastAsia="宋体"/>
          <w:b/>
        </w:rPr>
      </w:pPr>
      <w:r>
        <w:drawing>
          <wp:inline distT="0" distB="0" distL="0" distR="0">
            <wp:extent cx="2636520" cy="261493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3"/>
                    <a:stretch>
                      <a:fillRect/>
                    </a:stretch>
                  </pic:blipFill>
                  <pic:spPr>
                    <a:xfrm>
                      <a:off x="0" y="0"/>
                      <a:ext cx="2645012" cy="2623676"/>
                    </a:xfrm>
                    <a:prstGeom prst="rect">
                      <a:avLst/>
                    </a:prstGeom>
                  </pic:spPr>
                </pic:pic>
              </a:graphicData>
            </a:graphic>
          </wp:inline>
        </w:drawing>
      </w:r>
      <w:r>
        <w:drawing>
          <wp:inline distT="0" distB="0" distL="0" distR="0">
            <wp:extent cx="2426970" cy="2526030"/>
            <wp:effectExtent l="0" t="0" r="0" b="762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4"/>
                    <a:stretch>
                      <a:fillRect/>
                    </a:stretch>
                  </pic:blipFill>
                  <pic:spPr>
                    <a:xfrm>
                      <a:off x="0" y="0"/>
                      <a:ext cx="2446668" cy="2545937"/>
                    </a:xfrm>
                    <a:prstGeom prst="rect">
                      <a:avLst/>
                    </a:prstGeom>
                  </pic:spPr>
                </pic:pic>
              </a:graphicData>
            </a:graphic>
          </wp:inline>
        </w:drawing>
      </w:r>
    </w:p>
    <w:p>
      <w:pPr>
        <w:spacing w:line="300" w:lineRule="auto"/>
        <w:rPr>
          <w:rFonts w:ascii="宋体" w:hAnsi="宋体" w:eastAsia="宋体"/>
          <w:b/>
        </w:rPr>
      </w:pPr>
    </w:p>
    <w:p>
      <w:pPr>
        <w:spacing w:line="300" w:lineRule="auto"/>
        <w:rPr>
          <w:rFonts w:ascii="宋体" w:hAnsi="宋体" w:eastAsia="宋体"/>
          <w:b/>
        </w:rPr>
      </w:pPr>
      <w:r>
        <w:drawing>
          <wp:inline distT="0" distB="0" distL="0" distR="0">
            <wp:extent cx="4815840" cy="1336040"/>
            <wp:effectExtent l="0" t="0" r="381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5"/>
                    <a:stretch>
                      <a:fillRect/>
                    </a:stretch>
                  </pic:blipFill>
                  <pic:spPr>
                    <a:xfrm>
                      <a:off x="0" y="0"/>
                      <a:ext cx="4830435" cy="1340573"/>
                    </a:xfrm>
                    <a:prstGeom prst="rect">
                      <a:avLst/>
                    </a:prstGeom>
                  </pic:spPr>
                </pic:pic>
              </a:graphicData>
            </a:graphic>
          </wp:inline>
        </w:drawing>
      </w:r>
    </w:p>
    <w:p>
      <w:pPr>
        <w:spacing w:line="300" w:lineRule="auto"/>
        <w:rPr>
          <w:rFonts w:ascii="宋体" w:hAnsi="宋体" w:eastAsia="宋体"/>
          <w:b/>
        </w:rPr>
      </w:pPr>
    </w:p>
    <w:p>
      <w:pPr>
        <w:spacing w:line="300" w:lineRule="auto"/>
        <w:rPr>
          <w:rFonts w:ascii="宋体" w:hAnsi="宋体" w:eastAsia="宋体"/>
          <w:b/>
        </w:rPr>
      </w:pPr>
      <w:r>
        <w:rPr>
          <w:rFonts w:ascii="宋体" w:hAnsi="宋体" w:eastAsia="宋体"/>
          <w:b/>
        </w:rPr>
        <w:drawing>
          <wp:inline distT="0" distB="0" distL="0" distR="0">
            <wp:extent cx="5044440" cy="7724140"/>
            <wp:effectExtent l="0" t="0" r="3810" b="0"/>
            <wp:docPr id="38" name="图片 38" descr="C:\Users\86186\AppData\Local\Temp\WeChat Files\7e582cb411ae13ea9886e921f0acb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86186\AppData\Local\Temp\WeChat Files\7e582cb411ae13ea9886e921f0acbb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062061" cy="7751441"/>
                    </a:xfrm>
                    <a:prstGeom prst="rect">
                      <a:avLst/>
                    </a:prstGeom>
                    <a:noFill/>
                    <a:ln>
                      <a:noFill/>
                    </a:ln>
                  </pic:spPr>
                </pic:pic>
              </a:graphicData>
            </a:graphic>
          </wp:inline>
        </w:drawing>
      </w:r>
      <w:r>
        <w:rPr>
          <w:rFonts w:hint="eastAsia" w:ascii="宋体" w:hAnsi="宋体" w:eastAsia="宋体"/>
          <w:b/>
        </w:rPr>
        <w:t xml:space="preserve"> </w:t>
      </w:r>
      <w:r>
        <w:rPr>
          <w:rFonts w:ascii="宋体" w:hAnsi="宋体" w:eastAsia="宋体"/>
          <w:b/>
        </w:rPr>
        <w:t xml:space="preserve"> </w:t>
      </w:r>
    </w:p>
    <w:p>
      <w:pPr>
        <w:spacing w:line="300" w:lineRule="auto"/>
        <w:jc w:val="left"/>
        <w:rPr>
          <w:rFonts w:ascii="宋体" w:hAnsi="宋体" w:eastAsia="宋体"/>
          <w:sz w:val="24"/>
        </w:rPr>
      </w:pPr>
    </w:p>
    <w:p>
      <w:pPr>
        <w:spacing w:line="300" w:lineRule="auto"/>
        <w:jc w:val="left"/>
        <w:rPr>
          <w:rFonts w:ascii="宋体" w:hAnsi="宋体" w:eastAsia="宋体"/>
          <w:sz w:val="24"/>
        </w:rPr>
      </w:pPr>
    </w:p>
    <w:p>
      <w:pPr>
        <w:spacing w:line="300" w:lineRule="auto"/>
        <w:jc w:val="left"/>
        <w:rPr>
          <w:rFonts w:ascii="宋体" w:hAnsi="宋体" w:eastAsia="宋体"/>
          <w:sz w:val="24"/>
        </w:rPr>
      </w:pPr>
    </w:p>
    <w:p>
      <w:pPr>
        <w:spacing w:line="300" w:lineRule="auto"/>
        <w:jc w:val="left"/>
        <w:rPr>
          <w:rFonts w:ascii="宋体" w:hAnsi="宋体"/>
          <w:sz w:val="24"/>
        </w:rPr>
      </w:pPr>
      <w:r>
        <w:rPr>
          <w:rFonts w:hint="eastAsia" w:ascii="宋体" w:hAnsi="宋体" w:eastAsia="宋体"/>
          <w:sz w:val="24"/>
        </w:rPr>
        <w:t>曲终人不散，感谢一路有您</w:t>
      </w:r>
    </w:p>
    <w:p>
      <w:pPr>
        <w:spacing w:line="300" w:lineRule="auto"/>
        <w:jc w:val="left"/>
        <w:rPr>
          <w:rFonts w:ascii="宋体" w:hAnsi="宋体" w:eastAsia="宋体"/>
          <w:sz w:val="24"/>
        </w:rPr>
      </w:pPr>
      <w:r>
        <w:rPr>
          <w:rFonts w:hint="eastAsia" w:ascii="宋体" w:hAnsi="宋体" w:eastAsia="宋体"/>
          <w:sz w:val="24"/>
        </w:rPr>
        <w:t>第23届中国国际机电产品博览会</w:t>
      </w:r>
    </w:p>
    <w:p>
      <w:pPr>
        <w:spacing w:line="300" w:lineRule="auto"/>
        <w:jc w:val="left"/>
        <w:rPr>
          <w:rFonts w:ascii="宋体" w:hAnsi="宋体" w:eastAsia="宋体"/>
          <w:sz w:val="24"/>
        </w:rPr>
      </w:pPr>
      <w:r>
        <w:rPr>
          <w:rFonts w:hint="eastAsia" w:ascii="宋体" w:hAnsi="宋体" w:eastAsia="宋体"/>
          <w:sz w:val="24"/>
        </w:rPr>
        <w:t>圆满落下帷幕</w:t>
      </w:r>
    </w:p>
    <w:p>
      <w:pPr>
        <w:spacing w:line="300" w:lineRule="auto"/>
        <w:jc w:val="left"/>
        <w:rPr>
          <w:rFonts w:ascii="宋体" w:hAnsi="宋体" w:eastAsia="宋体"/>
          <w:sz w:val="24"/>
        </w:rPr>
      </w:pPr>
      <w:r>
        <w:rPr>
          <w:rFonts w:hint="eastAsia" w:ascii="宋体" w:hAnsi="宋体" w:eastAsia="宋体"/>
          <w:sz w:val="24"/>
        </w:rPr>
        <w:t>感谢你们的积极参与和支持</w:t>
      </w:r>
    </w:p>
    <w:p>
      <w:pPr>
        <w:spacing w:line="300" w:lineRule="auto"/>
        <w:jc w:val="left"/>
        <w:rPr>
          <w:rFonts w:ascii="宋体" w:hAnsi="宋体" w:eastAsia="宋体"/>
          <w:sz w:val="24"/>
        </w:rPr>
      </w:pPr>
      <w:r>
        <w:rPr>
          <w:rFonts w:hint="eastAsia" w:ascii="宋体" w:hAnsi="宋体" w:eastAsia="宋体"/>
          <w:sz w:val="24"/>
        </w:rPr>
        <w:t>才造就了这场中部装备行业盛会的圆满举行</w:t>
      </w:r>
    </w:p>
    <w:p>
      <w:pPr>
        <w:spacing w:line="300" w:lineRule="auto"/>
        <w:jc w:val="left"/>
        <w:rPr>
          <w:rFonts w:hint="eastAsia" w:ascii="宋体" w:hAnsi="宋体" w:eastAsia="宋体"/>
          <w:sz w:val="24"/>
        </w:rPr>
      </w:pPr>
      <w:r>
        <w:rPr>
          <w:rFonts w:hint="eastAsia" w:ascii="宋体" w:hAnsi="宋体" w:eastAsia="宋体"/>
          <w:sz w:val="24"/>
        </w:rPr>
        <w:t>期待2024年武汉再相会！</w:t>
      </w:r>
    </w:p>
    <w:p>
      <w:pPr>
        <w:pStyle w:val="6"/>
        <w:wordWrap w:val="0"/>
        <w:spacing w:before="0" w:beforeAutospacing="0" w:after="0" w:afterAutospacing="0" w:line="360" w:lineRule="exact"/>
        <w:ind w:left="281" w:hanging="241" w:hangingChars="100"/>
        <w:rPr>
          <w:bCs/>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联 系 方 式</w:t>
      </w:r>
    </w:p>
    <w:p>
      <w:pPr>
        <w:spacing w:line="320" w:lineRule="exact"/>
        <w:rPr>
          <w:rFonts w:ascii="宋体" w:hAnsi="宋体" w:cs="宋体"/>
          <w:sz w:val="24"/>
          <w:szCs w:val="24"/>
        </w:rPr>
      </w:pPr>
      <w:r>
        <w:rPr>
          <w:rFonts w:hint="eastAsia" w:ascii="宋体" w:hAnsi="宋体" w:cs="宋体"/>
          <w:sz w:val="24"/>
          <w:szCs w:val="24"/>
        </w:rPr>
        <w:t>湖北立嘉会议展览有限公司</w:t>
      </w:r>
    </w:p>
    <w:p>
      <w:pPr>
        <w:spacing w:line="320" w:lineRule="exact"/>
        <w:rPr>
          <w:rFonts w:hint="eastAsia" w:ascii="宋体" w:hAnsi="宋体" w:cs="宋体"/>
          <w:sz w:val="24"/>
          <w:szCs w:val="24"/>
        </w:rPr>
      </w:pPr>
      <w:r>
        <w:rPr>
          <w:rFonts w:hint="eastAsia" w:ascii="宋体" w:hAnsi="宋体" w:cs="宋体"/>
          <w:sz w:val="24"/>
          <w:szCs w:val="24"/>
        </w:rPr>
        <w:t>地 址：湖北省武汉市汉阳区四新北路111号绿地国博广场A座708室</w:t>
      </w:r>
    </w:p>
    <w:p>
      <w:pPr>
        <w:spacing w:line="320" w:lineRule="exact"/>
        <w:rPr>
          <w:rFonts w:hint="default" w:ascii="宋体" w:hAnsi="宋体" w:cs="宋体" w:eastAsiaTheme="minorEastAsia"/>
          <w:sz w:val="24"/>
          <w:szCs w:val="24"/>
          <w:lang w:val="en-US" w:eastAsia="zh-CN"/>
        </w:rPr>
      </w:pPr>
      <w:r>
        <w:rPr>
          <w:rFonts w:hint="eastAsia" w:ascii="宋体" w:hAnsi="宋体" w:cs="宋体"/>
          <w:sz w:val="24"/>
          <w:szCs w:val="24"/>
          <w:lang w:val="en-US" w:eastAsia="zh-CN"/>
        </w:rPr>
        <w:t>手机号码：15347061797（张小姐）</w:t>
      </w:r>
    </w:p>
    <w:p>
      <w:pPr>
        <w:spacing w:line="320" w:lineRule="exact"/>
        <w:rPr>
          <w:rFonts w:hint="eastAsia" w:ascii="宋体" w:hAnsi="宋体" w:cs="宋体"/>
          <w:sz w:val="24"/>
          <w:szCs w:val="24"/>
          <w:lang w:val="en-US" w:eastAsia="zh-CN"/>
        </w:rPr>
      </w:pPr>
      <w:r>
        <w:rPr>
          <w:rFonts w:hint="eastAsia" w:ascii="宋体" w:hAnsi="宋体" w:cs="宋体"/>
          <w:sz w:val="24"/>
          <w:szCs w:val="24"/>
        </w:rPr>
        <w:t>电  话：027-8464 9</w:t>
      </w:r>
      <w:r>
        <w:rPr>
          <w:rFonts w:hint="eastAsia" w:ascii="宋体" w:hAnsi="宋体" w:cs="宋体"/>
          <w:sz w:val="24"/>
          <w:szCs w:val="24"/>
          <w:lang w:val="en-US" w:eastAsia="zh-CN"/>
        </w:rPr>
        <w:t xml:space="preserve">718     </w:t>
      </w:r>
    </w:p>
    <w:p>
      <w:pPr>
        <w:spacing w:line="320" w:lineRule="exact"/>
        <w:rPr>
          <w:rFonts w:ascii="宋体" w:hAnsi="宋体" w:cs="宋体"/>
          <w:color w:val="000000" w:themeColor="text1"/>
          <w:sz w:val="24"/>
          <w:szCs w:val="24"/>
          <w14:textFill>
            <w14:solidFill>
              <w14:schemeClr w14:val="tx1"/>
            </w14:solidFill>
          </w14:textFill>
        </w:rPr>
      </w:pPr>
      <w:r>
        <w:rPr>
          <w:rFonts w:hint="eastAsia" w:ascii="宋体" w:hAnsi="宋体" w:cs="宋体"/>
          <w:sz w:val="24"/>
          <w:szCs w:val="24"/>
        </w:rPr>
        <w:t xml:space="preserve">传  </w:t>
      </w:r>
      <w:r>
        <w:rPr>
          <w:rFonts w:hint="eastAsia" w:ascii="宋体" w:hAnsi="宋体" w:cs="宋体"/>
          <w:color w:val="000000" w:themeColor="text1"/>
          <w:sz w:val="24"/>
          <w:szCs w:val="24"/>
          <w14:textFill>
            <w14:solidFill>
              <w14:schemeClr w14:val="tx1"/>
            </w14:solidFill>
          </w14:textFill>
        </w:rPr>
        <w:t>真：027-8423 5202</w:t>
      </w:r>
    </w:p>
    <w:p>
      <w:pPr>
        <w:spacing w:line="320" w:lineRule="exact"/>
        <w:rPr>
          <w:rFonts w:hint="eastAsia" w:ascii="宋体" w:hAnsi="宋体" w:cs="宋体"/>
          <w:color w:val="000000" w:themeColor="text1"/>
          <w:sz w:val="24"/>
          <w:szCs w:val="24"/>
          <w:u w:val="none"/>
          <w:lang w:val="en-US" w:eastAsia="zh-CN"/>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网 址：</w:t>
      </w:r>
      <w:r>
        <w:rPr>
          <w:sz w:val="24"/>
          <w:szCs w:val="24"/>
          <w:u w:val="none"/>
        </w:rPr>
        <w:fldChar w:fldCharType="begin"/>
      </w:r>
      <w:r>
        <w:rPr>
          <w:sz w:val="24"/>
          <w:szCs w:val="24"/>
          <w:u w:val="none"/>
        </w:rPr>
        <w:instrText xml:space="preserve"> HYPERLINK "http://www.wmechina.com.cn" </w:instrText>
      </w:r>
      <w:r>
        <w:rPr>
          <w:sz w:val="24"/>
          <w:szCs w:val="24"/>
          <w:u w:val="none"/>
        </w:rPr>
        <w:fldChar w:fldCharType="separate"/>
      </w:r>
      <w:r>
        <w:rPr>
          <w:rStyle w:val="11"/>
          <w:rFonts w:hint="eastAsia" w:ascii="宋体" w:hAnsi="宋体" w:cs="宋体"/>
          <w:color w:val="000000" w:themeColor="text1"/>
          <w:sz w:val="24"/>
          <w:szCs w:val="24"/>
          <w:u w:val="none"/>
          <w14:textFill>
            <w14:solidFill>
              <w14:schemeClr w14:val="tx1"/>
            </w14:solidFill>
          </w14:textFill>
        </w:rPr>
        <w:t>www.wmechina.cn</w:t>
      </w:r>
      <w:r>
        <w:rPr>
          <w:rStyle w:val="11"/>
          <w:rFonts w:hint="eastAsia" w:ascii="宋体" w:hAnsi="宋体" w:cs="宋体"/>
          <w:color w:val="000000" w:themeColor="text1"/>
          <w:sz w:val="24"/>
          <w:szCs w:val="24"/>
          <w:u w:val="none"/>
          <w14:textFill>
            <w14:solidFill>
              <w14:schemeClr w14:val="tx1"/>
            </w14:solidFill>
          </w14:textFill>
        </w:rPr>
        <w:fldChar w:fldCharType="end"/>
      </w:r>
      <w:r>
        <w:rPr>
          <w:rFonts w:hint="eastAsia" w:ascii="宋体" w:hAnsi="宋体" w:cs="宋体"/>
          <w:color w:val="000000" w:themeColor="text1"/>
          <w:sz w:val="24"/>
          <w:szCs w:val="24"/>
          <w:u w:val="none"/>
          <w14:textFill>
            <w14:solidFill>
              <w14:schemeClr w14:val="tx1"/>
            </w14:solidFill>
          </w14:textFill>
        </w:rPr>
        <w:t xml:space="preserve">  </w:t>
      </w:r>
      <w:r>
        <w:rPr>
          <w:rFonts w:hint="eastAsia" w:ascii="宋体" w:hAnsi="宋体" w:cs="宋体"/>
          <w:color w:val="000000" w:themeColor="text1"/>
          <w:sz w:val="24"/>
          <w:szCs w:val="24"/>
          <w:u w:val="none"/>
          <w:lang w:val="en-US" w:eastAsia="zh-CN"/>
          <w14:textFill>
            <w14:solidFill>
              <w14:schemeClr w14:val="tx1"/>
            </w14:solidFill>
          </w14:textFill>
        </w:rPr>
        <w:t xml:space="preserve">   </w:t>
      </w:r>
    </w:p>
    <w:p>
      <w:pPr>
        <w:spacing w:line="320" w:lineRule="exact"/>
        <w:rPr>
          <w:sz w:val="24"/>
          <w:szCs w:val="24"/>
        </w:rPr>
      </w:pPr>
      <w:r>
        <w:rPr>
          <w:rFonts w:hint="eastAsia" w:ascii="宋体" w:hAnsi="宋体" w:cs="宋体"/>
          <w:color w:val="000000" w:themeColor="text1"/>
          <w:sz w:val="24"/>
          <w:szCs w:val="24"/>
          <w:u w:val="none"/>
          <w14:textFill>
            <w14:solidFill>
              <w14:schemeClr w14:val="tx1"/>
            </w14:solidFill>
          </w14:textFill>
        </w:rPr>
        <w:t>邮 箱：</w:t>
      </w:r>
      <w:r>
        <w:rPr>
          <w:rFonts w:hint="eastAsia" w:ascii="宋体" w:hAnsi="宋体" w:cs="宋体"/>
          <w:color w:val="000000" w:themeColor="text1"/>
          <w:sz w:val="24"/>
          <w:szCs w:val="24"/>
          <w:u w:val="none"/>
          <w:lang w:val="en-US" w:eastAsia="zh-CN"/>
          <w14:textFill>
            <w14:solidFill>
              <w14:schemeClr w14:val="tx1"/>
            </w14:solidFill>
          </w14:textFill>
        </w:rPr>
        <w:t>529942829</w:t>
      </w:r>
      <w:r>
        <w:rPr>
          <w:sz w:val="24"/>
          <w:szCs w:val="24"/>
          <w:u w:val="none"/>
        </w:rPr>
        <w:fldChar w:fldCharType="begin"/>
      </w:r>
      <w:r>
        <w:rPr>
          <w:sz w:val="24"/>
          <w:szCs w:val="24"/>
          <w:u w:val="none"/>
        </w:rPr>
        <w:instrText xml:space="preserve"> HYPERLINK "mailto:547168648@qq.com" </w:instrText>
      </w:r>
      <w:r>
        <w:rPr>
          <w:sz w:val="24"/>
          <w:szCs w:val="24"/>
          <w:u w:val="none"/>
        </w:rPr>
        <w:fldChar w:fldCharType="separate"/>
      </w:r>
      <w:r>
        <w:rPr>
          <w:rStyle w:val="11"/>
          <w:rFonts w:hint="eastAsia" w:ascii="宋体" w:hAnsi="宋体" w:cs="宋体"/>
          <w:color w:val="000000" w:themeColor="text1"/>
          <w:sz w:val="24"/>
          <w:szCs w:val="24"/>
          <w:u w:val="none"/>
          <w14:textFill>
            <w14:solidFill>
              <w14:schemeClr w14:val="tx1"/>
            </w14:solidFill>
          </w14:textFill>
        </w:rPr>
        <w:t>@qq.com</w:t>
      </w:r>
      <w:r>
        <w:rPr>
          <w:rStyle w:val="11"/>
          <w:rFonts w:hint="eastAsia" w:ascii="宋体" w:hAnsi="宋体" w:cs="宋体"/>
          <w:color w:val="000000" w:themeColor="text1"/>
          <w:sz w:val="24"/>
          <w:szCs w:val="24"/>
          <w:u w:val="none"/>
          <w14:textFill>
            <w14:solidFill>
              <w14:schemeClr w14:val="tx1"/>
            </w14:solidFill>
          </w14:textFill>
        </w:rPr>
        <w:fldChar w:fldCharType="end"/>
      </w:r>
    </w:p>
    <w:p>
      <w:pPr>
        <w:spacing w:line="300" w:lineRule="auto"/>
        <w:jc w:val="left"/>
        <w:rPr>
          <w:rFonts w:hint="eastAsia" w:ascii="宋体" w:hAnsi="宋体" w:eastAsia="宋体"/>
          <w:sz w:val="24"/>
        </w:rPr>
      </w:pPr>
      <w:bookmarkStart w:id="0" w:name="_GoBack"/>
      <w:bookmarkEnd w:id="0"/>
    </w:p>
    <w:sectPr>
      <w:type w:val="continuous"/>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MS Gothic">
    <w:panose1 w:val="020B0609070205080204"/>
    <w:charset w:val="80"/>
    <w:family w:val="modern"/>
    <w:pitch w:val="default"/>
    <w:sig w:usb0="E00002FF" w:usb1="6AC7FDFB" w:usb2="08000012" w:usb3="00000000" w:csb0="4002009F" w:csb1="DFD7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ZkZmZmOTU0ZDU2NTcyMzI1MDk4MjUyNDc2M2VjZmIifQ=="/>
  </w:docVars>
  <w:rsids>
    <w:rsidRoot w:val="472A0B05"/>
    <w:rsid w:val="00002341"/>
    <w:rsid w:val="00005B15"/>
    <w:rsid w:val="000312B9"/>
    <w:rsid w:val="000422C9"/>
    <w:rsid w:val="000446DD"/>
    <w:rsid w:val="00045D41"/>
    <w:rsid w:val="00047776"/>
    <w:rsid w:val="00054990"/>
    <w:rsid w:val="000860AB"/>
    <w:rsid w:val="00090897"/>
    <w:rsid w:val="000B2F53"/>
    <w:rsid w:val="000C029F"/>
    <w:rsid w:val="000C15D2"/>
    <w:rsid w:val="000C294E"/>
    <w:rsid w:val="000E12DC"/>
    <w:rsid w:val="000E3137"/>
    <w:rsid w:val="000E78B6"/>
    <w:rsid w:val="000F1814"/>
    <w:rsid w:val="00102EB9"/>
    <w:rsid w:val="00106119"/>
    <w:rsid w:val="0011098D"/>
    <w:rsid w:val="00112D78"/>
    <w:rsid w:val="00121529"/>
    <w:rsid w:val="00122BAD"/>
    <w:rsid w:val="00123405"/>
    <w:rsid w:val="00126E66"/>
    <w:rsid w:val="00130DCE"/>
    <w:rsid w:val="0013441E"/>
    <w:rsid w:val="0013479E"/>
    <w:rsid w:val="0014251E"/>
    <w:rsid w:val="00155D3D"/>
    <w:rsid w:val="00161719"/>
    <w:rsid w:val="00165843"/>
    <w:rsid w:val="00165C7E"/>
    <w:rsid w:val="00172017"/>
    <w:rsid w:val="001725E6"/>
    <w:rsid w:val="0019145D"/>
    <w:rsid w:val="0019494D"/>
    <w:rsid w:val="00197337"/>
    <w:rsid w:val="001A12C9"/>
    <w:rsid w:val="001A2327"/>
    <w:rsid w:val="001A7402"/>
    <w:rsid w:val="001C484E"/>
    <w:rsid w:val="001F4E95"/>
    <w:rsid w:val="001F625D"/>
    <w:rsid w:val="0020270B"/>
    <w:rsid w:val="00202FFB"/>
    <w:rsid w:val="002058A5"/>
    <w:rsid w:val="00214B38"/>
    <w:rsid w:val="002222DE"/>
    <w:rsid w:val="00256990"/>
    <w:rsid w:val="002614C1"/>
    <w:rsid w:val="00262F0F"/>
    <w:rsid w:val="00275BA2"/>
    <w:rsid w:val="00295494"/>
    <w:rsid w:val="00295DB3"/>
    <w:rsid w:val="002B52C9"/>
    <w:rsid w:val="002B5FB4"/>
    <w:rsid w:val="002D49E8"/>
    <w:rsid w:val="002D615D"/>
    <w:rsid w:val="002F3FDE"/>
    <w:rsid w:val="00302B83"/>
    <w:rsid w:val="00307252"/>
    <w:rsid w:val="00326E32"/>
    <w:rsid w:val="00331CCA"/>
    <w:rsid w:val="00336DB9"/>
    <w:rsid w:val="003374DB"/>
    <w:rsid w:val="0034627F"/>
    <w:rsid w:val="00357146"/>
    <w:rsid w:val="00367C6E"/>
    <w:rsid w:val="003A41F9"/>
    <w:rsid w:val="003A6391"/>
    <w:rsid w:val="003B4987"/>
    <w:rsid w:val="003B6089"/>
    <w:rsid w:val="003C75C1"/>
    <w:rsid w:val="003D08B7"/>
    <w:rsid w:val="00403AF3"/>
    <w:rsid w:val="00404D3D"/>
    <w:rsid w:val="00405EF0"/>
    <w:rsid w:val="00407606"/>
    <w:rsid w:val="004328CB"/>
    <w:rsid w:val="00433F93"/>
    <w:rsid w:val="00442F51"/>
    <w:rsid w:val="004513A1"/>
    <w:rsid w:val="00451D94"/>
    <w:rsid w:val="004531C4"/>
    <w:rsid w:val="00453F96"/>
    <w:rsid w:val="004569A4"/>
    <w:rsid w:val="00464ECA"/>
    <w:rsid w:val="004738E4"/>
    <w:rsid w:val="0048250B"/>
    <w:rsid w:val="00483B9B"/>
    <w:rsid w:val="004A3759"/>
    <w:rsid w:val="004C0169"/>
    <w:rsid w:val="004C5F92"/>
    <w:rsid w:val="004C7477"/>
    <w:rsid w:val="004D741F"/>
    <w:rsid w:val="004E0DC7"/>
    <w:rsid w:val="004E187A"/>
    <w:rsid w:val="005166F5"/>
    <w:rsid w:val="00520D0A"/>
    <w:rsid w:val="0052395E"/>
    <w:rsid w:val="0052586D"/>
    <w:rsid w:val="0052668E"/>
    <w:rsid w:val="00531366"/>
    <w:rsid w:val="005315C8"/>
    <w:rsid w:val="005538CF"/>
    <w:rsid w:val="0055437A"/>
    <w:rsid w:val="005562F1"/>
    <w:rsid w:val="005911C7"/>
    <w:rsid w:val="0059314E"/>
    <w:rsid w:val="005A3F51"/>
    <w:rsid w:val="005B167C"/>
    <w:rsid w:val="005B66AD"/>
    <w:rsid w:val="005C5D34"/>
    <w:rsid w:val="005D6521"/>
    <w:rsid w:val="005F1026"/>
    <w:rsid w:val="005F3A13"/>
    <w:rsid w:val="005F7583"/>
    <w:rsid w:val="0060312A"/>
    <w:rsid w:val="00603A96"/>
    <w:rsid w:val="00606DE3"/>
    <w:rsid w:val="0062571E"/>
    <w:rsid w:val="0063017E"/>
    <w:rsid w:val="00636105"/>
    <w:rsid w:val="00653A18"/>
    <w:rsid w:val="00663C8A"/>
    <w:rsid w:val="00665B0F"/>
    <w:rsid w:val="00675026"/>
    <w:rsid w:val="006800DD"/>
    <w:rsid w:val="00685546"/>
    <w:rsid w:val="0069499C"/>
    <w:rsid w:val="00696DE3"/>
    <w:rsid w:val="006A4B29"/>
    <w:rsid w:val="006B475B"/>
    <w:rsid w:val="006C4E0E"/>
    <w:rsid w:val="006D303E"/>
    <w:rsid w:val="006D309E"/>
    <w:rsid w:val="006D3CD7"/>
    <w:rsid w:val="006D4BE9"/>
    <w:rsid w:val="006D5CE0"/>
    <w:rsid w:val="006F2D9A"/>
    <w:rsid w:val="0070783F"/>
    <w:rsid w:val="00717C9F"/>
    <w:rsid w:val="00717D15"/>
    <w:rsid w:val="0072648E"/>
    <w:rsid w:val="007315C2"/>
    <w:rsid w:val="00736364"/>
    <w:rsid w:val="00742C04"/>
    <w:rsid w:val="00743F37"/>
    <w:rsid w:val="00752753"/>
    <w:rsid w:val="00765A7C"/>
    <w:rsid w:val="00783A2A"/>
    <w:rsid w:val="00784462"/>
    <w:rsid w:val="00784AB3"/>
    <w:rsid w:val="0079223A"/>
    <w:rsid w:val="007B008A"/>
    <w:rsid w:val="007B5441"/>
    <w:rsid w:val="007C01C2"/>
    <w:rsid w:val="007D54E3"/>
    <w:rsid w:val="007E0505"/>
    <w:rsid w:val="007E2005"/>
    <w:rsid w:val="008018F6"/>
    <w:rsid w:val="008122D2"/>
    <w:rsid w:val="008153A9"/>
    <w:rsid w:val="00837863"/>
    <w:rsid w:val="00843D42"/>
    <w:rsid w:val="0084534A"/>
    <w:rsid w:val="00853846"/>
    <w:rsid w:val="00856640"/>
    <w:rsid w:val="0086215D"/>
    <w:rsid w:val="008A025A"/>
    <w:rsid w:val="008B122F"/>
    <w:rsid w:val="008C352B"/>
    <w:rsid w:val="008C64C1"/>
    <w:rsid w:val="008D080B"/>
    <w:rsid w:val="008D3332"/>
    <w:rsid w:val="008D5894"/>
    <w:rsid w:val="008F3E65"/>
    <w:rsid w:val="008F5111"/>
    <w:rsid w:val="00921349"/>
    <w:rsid w:val="00934231"/>
    <w:rsid w:val="009350A6"/>
    <w:rsid w:val="00942847"/>
    <w:rsid w:val="00961A9B"/>
    <w:rsid w:val="009639F3"/>
    <w:rsid w:val="0097085F"/>
    <w:rsid w:val="009751C0"/>
    <w:rsid w:val="0098269C"/>
    <w:rsid w:val="009936C7"/>
    <w:rsid w:val="0099556F"/>
    <w:rsid w:val="009A1DDC"/>
    <w:rsid w:val="009C2F1A"/>
    <w:rsid w:val="009C4B3C"/>
    <w:rsid w:val="009D641F"/>
    <w:rsid w:val="00A15730"/>
    <w:rsid w:val="00A20030"/>
    <w:rsid w:val="00A30545"/>
    <w:rsid w:val="00A356D7"/>
    <w:rsid w:val="00A3752D"/>
    <w:rsid w:val="00A44545"/>
    <w:rsid w:val="00A46B4B"/>
    <w:rsid w:val="00A46BF8"/>
    <w:rsid w:val="00A646F3"/>
    <w:rsid w:val="00A6765A"/>
    <w:rsid w:val="00A76156"/>
    <w:rsid w:val="00A915AA"/>
    <w:rsid w:val="00AA6661"/>
    <w:rsid w:val="00AA716D"/>
    <w:rsid w:val="00AC052F"/>
    <w:rsid w:val="00AD01AD"/>
    <w:rsid w:val="00AE4E0A"/>
    <w:rsid w:val="00AE7AEC"/>
    <w:rsid w:val="00AF5A7D"/>
    <w:rsid w:val="00B00851"/>
    <w:rsid w:val="00B060E9"/>
    <w:rsid w:val="00B13199"/>
    <w:rsid w:val="00B35727"/>
    <w:rsid w:val="00B5132D"/>
    <w:rsid w:val="00B537D4"/>
    <w:rsid w:val="00B66754"/>
    <w:rsid w:val="00B743A8"/>
    <w:rsid w:val="00B8227A"/>
    <w:rsid w:val="00B85A52"/>
    <w:rsid w:val="00B85CE7"/>
    <w:rsid w:val="00BB247E"/>
    <w:rsid w:val="00BB6834"/>
    <w:rsid w:val="00BC03CF"/>
    <w:rsid w:val="00BD1CD9"/>
    <w:rsid w:val="00C01A13"/>
    <w:rsid w:val="00C01EBA"/>
    <w:rsid w:val="00C02A3A"/>
    <w:rsid w:val="00C139B8"/>
    <w:rsid w:val="00C1602E"/>
    <w:rsid w:val="00C26C21"/>
    <w:rsid w:val="00C3283C"/>
    <w:rsid w:val="00C462FA"/>
    <w:rsid w:val="00C61FD4"/>
    <w:rsid w:val="00C65738"/>
    <w:rsid w:val="00C719F9"/>
    <w:rsid w:val="00C86016"/>
    <w:rsid w:val="00C90057"/>
    <w:rsid w:val="00C93649"/>
    <w:rsid w:val="00CA1D9A"/>
    <w:rsid w:val="00CC65BA"/>
    <w:rsid w:val="00CE33F2"/>
    <w:rsid w:val="00CE7568"/>
    <w:rsid w:val="00CF08C8"/>
    <w:rsid w:val="00CF496A"/>
    <w:rsid w:val="00CF643E"/>
    <w:rsid w:val="00D011DE"/>
    <w:rsid w:val="00D0740F"/>
    <w:rsid w:val="00D120AA"/>
    <w:rsid w:val="00D22EF4"/>
    <w:rsid w:val="00D4521A"/>
    <w:rsid w:val="00D4601F"/>
    <w:rsid w:val="00D5694B"/>
    <w:rsid w:val="00D67FFE"/>
    <w:rsid w:val="00D71C37"/>
    <w:rsid w:val="00DA15EA"/>
    <w:rsid w:val="00DA2F08"/>
    <w:rsid w:val="00DA42BD"/>
    <w:rsid w:val="00DA4ED3"/>
    <w:rsid w:val="00DC123C"/>
    <w:rsid w:val="00DE11F2"/>
    <w:rsid w:val="00DF7785"/>
    <w:rsid w:val="00E01E8B"/>
    <w:rsid w:val="00E04F92"/>
    <w:rsid w:val="00E136C2"/>
    <w:rsid w:val="00E17D0F"/>
    <w:rsid w:val="00E317EC"/>
    <w:rsid w:val="00E32CC4"/>
    <w:rsid w:val="00E47A7A"/>
    <w:rsid w:val="00E5473D"/>
    <w:rsid w:val="00E60487"/>
    <w:rsid w:val="00E60951"/>
    <w:rsid w:val="00E61BE0"/>
    <w:rsid w:val="00E66C99"/>
    <w:rsid w:val="00E67D89"/>
    <w:rsid w:val="00E76C7E"/>
    <w:rsid w:val="00EB4547"/>
    <w:rsid w:val="00ED686B"/>
    <w:rsid w:val="00EE1DD3"/>
    <w:rsid w:val="00F113A1"/>
    <w:rsid w:val="00F2189B"/>
    <w:rsid w:val="00F24303"/>
    <w:rsid w:val="00F32F21"/>
    <w:rsid w:val="00F53E42"/>
    <w:rsid w:val="00F547D4"/>
    <w:rsid w:val="00F74A25"/>
    <w:rsid w:val="00F95464"/>
    <w:rsid w:val="00F95AA5"/>
    <w:rsid w:val="00FA0232"/>
    <w:rsid w:val="00FA0AFB"/>
    <w:rsid w:val="00FA137D"/>
    <w:rsid w:val="00FC15AD"/>
    <w:rsid w:val="00FC3565"/>
    <w:rsid w:val="00FE37A6"/>
    <w:rsid w:val="12E21973"/>
    <w:rsid w:val="22FC2CB5"/>
    <w:rsid w:val="2DF20202"/>
    <w:rsid w:val="38134C65"/>
    <w:rsid w:val="3F46067E"/>
    <w:rsid w:val="472A0B05"/>
    <w:rsid w:val="59B966C3"/>
    <w:rsid w:val="626B349A"/>
    <w:rsid w:val="659836A7"/>
    <w:rsid w:val="753D4B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6"/>
    <w:uiPriority w:val="0"/>
    <w:pPr>
      <w:jc w:val="left"/>
    </w:pPr>
  </w:style>
  <w:style w:type="paragraph" w:styleId="3">
    <w:name w:val="Balloon Text"/>
    <w:basedOn w:val="1"/>
    <w:link w:val="13"/>
    <w:uiPriority w:val="0"/>
    <w:rPr>
      <w:sz w:val="18"/>
      <w:szCs w:val="18"/>
    </w:rPr>
  </w:style>
  <w:style w:type="paragraph" w:styleId="4">
    <w:name w:val="footer"/>
    <w:basedOn w:val="1"/>
    <w:link w:val="15"/>
    <w:qFormat/>
    <w:uiPriority w:val="0"/>
    <w:pPr>
      <w:tabs>
        <w:tab w:val="center" w:pos="4153"/>
        <w:tab w:val="right" w:pos="8306"/>
      </w:tabs>
      <w:snapToGrid w:val="0"/>
      <w:jc w:val="left"/>
    </w:pPr>
    <w:rPr>
      <w:sz w:val="18"/>
      <w:szCs w:val="18"/>
    </w:rPr>
  </w:style>
  <w:style w:type="paragraph" w:styleId="5">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Autospacing="1" w:afterAutospacing="1"/>
      <w:jc w:val="left"/>
    </w:pPr>
    <w:rPr>
      <w:rFonts w:cs="Times New Roman"/>
      <w:kern w:val="0"/>
      <w:sz w:val="24"/>
    </w:rPr>
  </w:style>
  <w:style w:type="paragraph" w:styleId="7">
    <w:name w:val="annotation subject"/>
    <w:basedOn w:val="2"/>
    <w:next w:val="2"/>
    <w:link w:val="17"/>
    <w:qFormat/>
    <w:uiPriority w:val="0"/>
    <w:rPr>
      <w:b/>
      <w:bCs/>
    </w:rPr>
  </w:style>
  <w:style w:type="character" w:styleId="10">
    <w:name w:val="Strong"/>
    <w:basedOn w:val="9"/>
    <w:qFormat/>
    <w:uiPriority w:val="0"/>
    <w:rPr>
      <w:b/>
    </w:rPr>
  </w:style>
  <w:style w:type="character" w:styleId="11">
    <w:name w:val="Hyperlink"/>
    <w:qFormat/>
    <w:uiPriority w:val="0"/>
    <w:rPr>
      <w:color w:val="0000FF"/>
      <w:u w:val="single"/>
    </w:rPr>
  </w:style>
  <w:style w:type="character" w:styleId="12">
    <w:name w:val="annotation reference"/>
    <w:basedOn w:val="9"/>
    <w:qFormat/>
    <w:uiPriority w:val="0"/>
    <w:rPr>
      <w:sz w:val="21"/>
      <w:szCs w:val="21"/>
    </w:rPr>
  </w:style>
  <w:style w:type="character" w:customStyle="1" w:styleId="13">
    <w:name w:val="批注框文本 字符"/>
    <w:basedOn w:val="9"/>
    <w:link w:val="3"/>
    <w:qFormat/>
    <w:uiPriority w:val="0"/>
    <w:rPr>
      <w:rFonts w:asciiTheme="minorHAnsi" w:hAnsiTheme="minorHAnsi" w:eastAsiaTheme="minorEastAsia" w:cstheme="minorBidi"/>
      <w:kern w:val="2"/>
      <w:sz w:val="18"/>
      <w:szCs w:val="18"/>
    </w:rPr>
  </w:style>
  <w:style w:type="character" w:customStyle="1" w:styleId="14">
    <w:name w:val="页眉 字符"/>
    <w:basedOn w:val="9"/>
    <w:link w:val="5"/>
    <w:qFormat/>
    <w:uiPriority w:val="0"/>
    <w:rPr>
      <w:rFonts w:asciiTheme="minorHAnsi" w:hAnsiTheme="minorHAnsi" w:eastAsiaTheme="minorEastAsia" w:cstheme="minorBidi"/>
      <w:kern w:val="2"/>
      <w:sz w:val="18"/>
      <w:szCs w:val="18"/>
    </w:rPr>
  </w:style>
  <w:style w:type="character" w:customStyle="1" w:styleId="15">
    <w:name w:val="页脚 字符"/>
    <w:basedOn w:val="9"/>
    <w:link w:val="4"/>
    <w:qFormat/>
    <w:uiPriority w:val="0"/>
    <w:rPr>
      <w:rFonts w:asciiTheme="minorHAnsi" w:hAnsiTheme="minorHAnsi" w:eastAsiaTheme="minorEastAsia" w:cstheme="minorBidi"/>
      <w:kern w:val="2"/>
      <w:sz w:val="18"/>
      <w:szCs w:val="18"/>
    </w:rPr>
  </w:style>
  <w:style w:type="character" w:customStyle="1" w:styleId="16">
    <w:name w:val="批注文字 字符"/>
    <w:basedOn w:val="9"/>
    <w:link w:val="2"/>
    <w:qFormat/>
    <w:uiPriority w:val="0"/>
    <w:rPr>
      <w:rFonts w:asciiTheme="minorHAnsi" w:hAnsiTheme="minorHAnsi" w:eastAsiaTheme="minorEastAsia" w:cstheme="minorBidi"/>
      <w:kern w:val="2"/>
      <w:sz w:val="21"/>
      <w:szCs w:val="24"/>
    </w:rPr>
  </w:style>
  <w:style w:type="character" w:customStyle="1" w:styleId="17">
    <w:name w:val="批注主题 字符"/>
    <w:basedOn w:val="16"/>
    <w:link w:val="7"/>
    <w:qFormat/>
    <w:uiPriority w:val="0"/>
    <w:rPr>
      <w:rFonts w:asciiTheme="minorHAnsi" w:hAnsiTheme="minorHAnsi" w:eastAsiaTheme="minorEastAsia" w:cstheme="minorBidi"/>
      <w:b/>
      <w:bCs/>
      <w:kern w:val="2"/>
      <w:sz w:val="21"/>
      <w:szCs w:val="24"/>
    </w:rPr>
  </w:style>
  <w:style w:type="character" w:customStyle="1" w:styleId="18">
    <w:name w:val="txt"/>
    <w:basedOn w:val="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7" Type="http://schemas.openxmlformats.org/officeDocument/2006/relationships/fontTable" Target="fontTable.xml"/><Relationship Id="rId46" Type="http://schemas.openxmlformats.org/officeDocument/2006/relationships/image" Target="media/image36.jpe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image" Target="media/image1.jpeg"/><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jpeg"/><Relationship Id="rId36" Type="http://schemas.openxmlformats.org/officeDocument/2006/relationships/image" Target="media/image26.png"/><Relationship Id="rId35" Type="http://schemas.openxmlformats.org/officeDocument/2006/relationships/image" Target="media/image25.jpeg"/><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theme" Target="theme/theme1.xml"/><Relationship Id="rId29" Type="http://schemas.openxmlformats.org/officeDocument/2006/relationships/image" Target="media/image19.pn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chart" Target="charts/chart7.xml"/><Relationship Id="rId23" Type="http://schemas.openxmlformats.org/officeDocument/2006/relationships/image" Target="media/image14.jpeg"/><Relationship Id="rId22" Type="http://schemas.openxmlformats.org/officeDocument/2006/relationships/chart" Target="charts/chart6.xml"/><Relationship Id="rId21" Type="http://schemas.openxmlformats.org/officeDocument/2006/relationships/chart" Target="charts/chart5.xml"/><Relationship Id="rId20" Type="http://schemas.openxmlformats.org/officeDocument/2006/relationships/chart" Target="charts/chart4.xml"/><Relationship Id="rId2" Type="http://schemas.openxmlformats.org/officeDocument/2006/relationships/settings" Target="settings.xml"/><Relationship Id="rId19" Type="http://schemas.openxmlformats.org/officeDocument/2006/relationships/chart" Target="charts/chart3.xml"/><Relationship Id="rId18" Type="http://schemas.openxmlformats.org/officeDocument/2006/relationships/chart" Target="charts/chart2.xml"/><Relationship Id="rId17" Type="http://schemas.openxmlformats.org/officeDocument/2006/relationships/chart" Target="charts/chart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86186\Desktop\2023&#24180;&#23637;&#21518;&#25253;&#21578;\&#35266;&#20247;&#20998;&#24067;&#22270;.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86186\Desktop\2023&#24180;&#23637;&#21518;&#25253;&#21578;\&#35266;&#20247;&#20998;&#24067;&#22270;.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86186\Desktop\2023&#24180;&#23637;&#21518;&#25253;&#21578;\&#25152;&#23646;&#34892;&#19994;.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86186\Desktop\2023&#24180;&#23637;&#21518;&#25253;&#21578;\&#21442;&#35266;&#20225;&#19994;&#24615;&#36136;.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86186\Desktop\2023&#24180;&#23637;&#21518;&#25253;&#21578;\&#21442;&#35266;&#20225;&#19994;&#24615;&#36136;.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C:\Users\86186\Desktop\2023&#24180;&#23637;&#21518;&#25253;&#21578;\&#21442;&#35266;&#20225;&#19994;&#24615;&#36136;.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86186\Desktop\&#35266;&#20247;&#26469;&#283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0"/>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dLblPos val="bestFit"/>
              <c:showLegendKey val="0"/>
              <c:showVal val="1"/>
              <c:showCatName val="0"/>
              <c:showSerName val="0"/>
              <c:showPercent val="0"/>
              <c:showBubbleSize val="0"/>
              <c:extLst>
                <c:ext xmlns:c15="http://schemas.microsoft.com/office/drawing/2012/chart" uri="{CE6537A1-D6FC-4f65-9D91-7224C49458BB}"/>
              </c:extLst>
            </c:dLbl>
            <c:dLbl>
              <c:idx val="5"/>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Sheet1!$A$36:$A$41</c:f>
              <c:strCache>
                <c:ptCount val="6"/>
                <c:pt idx="0">
                  <c:v>华中</c:v>
                </c:pt>
                <c:pt idx="1">
                  <c:v>华东</c:v>
                </c:pt>
                <c:pt idx="2">
                  <c:v>华南</c:v>
                </c:pt>
                <c:pt idx="3">
                  <c:v>西南/西北</c:v>
                </c:pt>
                <c:pt idx="4">
                  <c:v>华北/东北</c:v>
                </c:pt>
                <c:pt idx="5">
                  <c:v>国外常驻国内及港澳台</c:v>
                </c:pt>
              </c:strCache>
            </c:strRef>
          </c:cat>
          <c:val>
            <c:numRef>
              <c:f>Sheet1!$B$36:$B$41</c:f>
              <c:numCache>
                <c:formatCode>0.00%</c:formatCode>
                <c:ptCount val="6"/>
                <c:pt idx="0">
                  <c:v>0.8462</c:v>
                </c:pt>
                <c:pt idx="1">
                  <c:v>0.0512</c:v>
                </c:pt>
                <c:pt idx="2">
                  <c:v>0.0352</c:v>
                </c:pt>
                <c:pt idx="3">
                  <c:v>0.0319</c:v>
                </c:pt>
                <c:pt idx="4">
                  <c:v>0.0231</c:v>
                </c:pt>
                <c:pt idx="5">
                  <c:v>0.0124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spPr/>
          <c:explosion val="0"/>
          <c:dPt>
            <c:idx val="0"/>
            <c:bubble3D val="0"/>
            <c:spPr>
              <a:solidFill>
                <a:schemeClr val="accent1"/>
              </a:solidFill>
              <a:ln w="25400">
                <a:solidFill>
                  <a:schemeClr val="lt1"/>
                </a:solidFill>
              </a:ln>
              <a:effectLst/>
              <a:scene3d>
                <a:camera prst="orthographicFront"/>
                <a:lightRig rig="threePt" dir="t"/>
              </a:scene3d>
              <a:sp3d contourW="25400">
                <a:contourClr>
                  <a:schemeClr val="lt1"/>
                </a:contourClr>
              </a:sp3d>
            </c:spPr>
          </c:dPt>
          <c:dPt>
            <c:idx val="1"/>
            <c:bubble3D val="0"/>
            <c:spPr>
              <a:solidFill>
                <a:schemeClr val="accent2"/>
              </a:solidFill>
              <a:ln w="25400">
                <a:solidFill>
                  <a:schemeClr val="lt1"/>
                </a:solidFill>
              </a:ln>
              <a:effectLst/>
              <a:scene3d>
                <a:camera prst="orthographicFront"/>
                <a:lightRig rig="threePt" dir="t"/>
              </a:scene3d>
              <a:sp3d contourW="25400">
                <a:contourClr>
                  <a:schemeClr val="lt1"/>
                </a:contourClr>
              </a:sp3d>
            </c:spPr>
          </c:dPt>
          <c:dPt>
            <c:idx val="2"/>
            <c:bubble3D val="0"/>
            <c:spPr>
              <a:solidFill>
                <a:schemeClr val="accent3"/>
              </a:solidFill>
              <a:ln w="25400">
                <a:solidFill>
                  <a:schemeClr val="lt1"/>
                </a:solidFill>
              </a:ln>
              <a:effectLst/>
              <a:scene3d>
                <a:camera prst="orthographicFront"/>
                <a:lightRig rig="threePt" dir="t"/>
              </a:scene3d>
              <a:sp3d contourW="25400">
                <a:contourClr>
                  <a:schemeClr val="lt1"/>
                </a:contourClr>
              </a:sp3d>
            </c:spPr>
          </c:dPt>
          <c:dPt>
            <c:idx val="3"/>
            <c:bubble3D val="0"/>
            <c:spPr>
              <a:solidFill>
                <a:schemeClr val="accent4"/>
              </a:solidFill>
              <a:ln w="25400">
                <a:solidFill>
                  <a:schemeClr val="lt1"/>
                </a:solidFill>
              </a:ln>
              <a:effectLst/>
              <a:scene3d>
                <a:camera prst="orthographicFront"/>
                <a:lightRig rig="threePt" dir="t"/>
              </a:scene3d>
              <a:sp3d contourW="25400">
                <a:contourClr>
                  <a:schemeClr val="lt1"/>
                </a:contourClr>
              </a:sp3d>
            </c:spPr>
          </c:dPt>
          <c:dPt>
            <c:idx val="4"/>
            <c:bubble3D val="0"/>
            <c:spPr>
              <a:solidFill>
                <a:schemeClr val="accent5"/>
              </a:solidFill>
              <a:ln w="25400">
                <a:solidFill>
                  <a:schemeClr val="lt1"/>
                </a:solidFill>
              </a:ln>
              <a:effectLst/>
              <a:scene3d>
                <a:camera prst="orthographicFront"/>
                <a:lightRig rig="threePt" dir="t"/>
              </a:scene3d>
              <a:sp3d contourW="25400">
                <a:contourClr>
                  <a:schemeClr val="lt1"/>
                </a:contourClr>
              </a:sp3d>
            </c:spPr>
          </c:dPt>
          <c:dPt>
            <c:idx val="5"/>
            <c:bubble3D val="0"/>
            <c:spPr>
              <a:solidFill>
                <a:schemeClr val="accent6"/>
              </a:solidFill>
              <a:ln w="25400">
                <a:solidFill>
                  <a:schemeClr val="lt1"/>
                </a:solidFill>
              </a:ln>
              <a:effectLst/>
              <a:scene3d>
                <a:camera prst="orthographicFront"/>
                <a:lightRig rig="threePt" dir="t"/>
              </a:scene3d>
              <a:sp3d contourW="25400">
                <a:contourClr>
                  <a:schemeClr val="lt1"/>
                </a:contourClr>
              </a:sp3d>
            </c:spPr>
          </c:dPt>
          <c:dPt>
            <c:idx val="6"/>
            <c:bubble3D val="0"/>
            <c:spPr>
              <a:solidFill>
                <a:schemeClr val="accent1">
                  <a:lumMod val="60000"/>
                </a:schemeClr>
              </a:solidFill>
              <a:ln w="25400">
                <a:solidFill>
                  <a:schemeClr val="lt1"/>
                </a:solidFill>
              </a:ln>
              <a:effectLst/>
              <a:scene3d>
                <a:camera prst="orthographicFront"/>
                <a:lightRig rig="threePt" dir="t"/>
              </a:scene3d>
              <a:sp3d contourW="25400">
                <a:contourClr>
                  <a:schemeClr val="lt1"/>
                </a:contourClr>
              </a:sp3d>
            </c:spPr>
          </c:dPt>
          <c:dPt>
            <c:idx val="7"/>
            <c:bubble3D val="0"/>
            <c:spPr>
              <a:solidFill>
                <a:schemeClr val="accent2">
                  <a:lumMod val="60000"/>
                </a:schemeClr>
              </a:solidFill>
              <a:ln w="25400">
                <a:solidFill>
                  <a:schemeClr val="lt1"/>
                </a:solidFill>
              </a:ln>
              <a:effectLst/>
              <a:scene3d>
                <a:camera prst="orthographicFront"/>
                <a:lightRig rig="threePt" dir="t"/>
              </a:scene3d>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Sheet1!$A$45:$A$52</c:f>
              <c:strCache>
                <c:ptCount val="8"/>
                <c:pt idx="0">
                  <c:v>湖北省</c:v>
                </c:pt>
                <c:pt idx="1">
                  <c:v>湖南省</c:v>
                </c:pt>
                <c:pt idx="2">
                  <c:v>河南省</c:v>
                </c:pt>
                <c:pt idx="3">
                  <c:v>江西省</c:v>
                </c:pt>
                <c:pt idx="4">
                  <c:v>安徽省</c:v>
                </c:pt>
                <c:pt idx="5">
                  <c:v>沿海地区（上海、江苏、浙江、广东）</c:v>
                </c:pt>
                <c:pt idx="6">
                  <c:v>港澳台及国外常驻国内</c:v>
                </c:pt>
                <c:pt idx="7">
                  <c:v>其他</c:v>
                </c:pt>
              </c:strCache>
            </c:strRef>
          </c:cat>
          <c:val>
            <c:numRef>
              <c:f>Sheet1!$B$45:$B$52</c:f>
              <c:numCache>
                <c:formatCode>0.00%</c:formatCode>
                <c:ptCount val="8"/>
                <c:pt idx="0">
                  <c:v>0.6741</c:v>
                </c:pt>
                <c:pt idx="1">
                  <c:v>0.0836</c:v>
                </c:pt>
                <c:pt idx="2">
                  <c:v>0.0711</c:v>
                </c:pt>
                <c:pt idx="3">
                  <c:v>0.0356</c:v>
                </c:pt>
                <c:pt idx="4">
                  <c:v>0.0313</c:v>
                </c:pt>
                <c:pt idx="5">
                  <c:v>0.0597</c:v>
                </c:pt>
                <c:pt idx="6">
                  <c:v>0.0124</c:v>
                </c:pt>
                <c:pt idx="7">
                  <c:v>0.0322</c:v>
                </c:pt>
              </c:numCache>
            </c:numRef>
          </c:val>
        </c:ser>
        <c:dLbls>
          <c:showLegendKey val="0"/>
          <c:showVal val="1"/>
          <c:showCatName val="0"/>
          <c:showSerName val="0"/>
          <c:showPercent val="0"/>
          <c:showBubbleSize val="0"/>
        </c:dLbls>
      </c:pie3DChart>
      <c:spPr>
        <a:noFill/>
        <a:ln>
          <a:noFill/>
        </a:ln>
        <a:effectLst/>
      </c:spPr>
    </c:plotArea>
    <c:legend>
      <c:legendPos val="r"/>
      <c:layout>
        <c:manualLayout>
          <c:xMode val="edge"/>
          <c:yMode val="edge"/>
          <c:x val="0.641666666666667"/>
          <c:y val="0.050343394575678"/>
          <c:w val="0.341666666666667"/>
          <c:h val="0.94965660542432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行业分析</a:t>
            </a:r>
            <a:endParaRPr lang="zh-CN" altLang="en-US"/>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Sheet1!$A$1:$A$19</c:f>
              <c:strCache>
                <c:ptCount val="19"/>
                <c:pt idx="0">
                  <c:v>其他</c:v>
                </c:pt>
                <c:pt idx="1">
                  <c:v>政府部门</c:v>
                </c:pt>
                <c:pt idx="2">
                  <c:v>办公用品、玩具、日用品</c:v>
                </c:pt>
                <c:pt idx="3">
                  <c:v>家用电器</c:v>
                </c:pt>
                <c:pt idx="4">
                  <c:v>国防军工</c:v>
                </c:pt>
                <c:pt idx="5">
                  <c:v>院校 、科研机构</c:v>
                </c:pt>
                <c:pt idx="6">
                  <c:v>仪表、仪器</c:v>
                </c:pt>
                <c:pt idx="7">
                  <c:v>电气、电力、新能源</c:v>
                </c:pt>
                <c:pt idx="8">
                  <c:v>生物制药、医疗器械、医疗用品</c:v>
                </c:pt>
                <c:pt idx="9">
                  <c:v>航空航天</c:v>
                </c:pt>
                <c:pt idx="10">
                  <c:v>工程机械</c:v>
                </c:pt>
                <c:pt idx="11">
                  <c:v>包装工业、塑料塑胶、印刷</c:v>
                </c:pt>
                <c:pt idx="12">
                  <c:v>轻工机械、纺织机械</c:v>
                </c:pt>
                <c:pt idx="13">
                  <c:v>铁路、农机等制造</c:v>
                </c:pt>
                <c:pt idx="14">
                  <c:v>船舶、钢铁</c:v>
                </c:pt>
                <c:pt idx="15">
                  <c:v>模具、模具制造及加工</c:v>
                </c:pt>
                <c:pt idx="16">
                  <c:v>电子通讯、IT、OA</c:v>
                </c:pt>
                <c:pt idx="17">
                  <c:v>机械制造（机床及通用件）</c:v>
                </c:pt>
                <c:pt idx="18">
                  <c:v>汽车、摩托车及零部件</c:v>
                </c:pt>
              </c:strCache>
            </c:strRef>
          </c:cat>
          <c:val>
            <c:numRef>
              <c:f>Sheet1!$B$1:$B$19</c:f>
              <c:numCache>
                <c:formatCode>0.00%</c:formatCode>
                <c:ptCount val="19"/>
                <c:pt idx="0">
                  <c:v>0.0797</c:v>
                </c:pt>
                <c:pt idx="1">
                  <c:v>0.0064</c:v>
                </c:pt>
                <c:pt idx="2">
                  <c:v>0.0114</c:v>
                </c:pt>
                <c:pt idx="3">
                  <c:v>0.0434</c:v>
                </c:pt>
                <c:pt idx="4">
                  <c:v>0.0155</c:v>
                </c:pt>
                <c:pt idx="5">
                  <c:v>0.0447</c:v>
                </c:pt>
                <c:pt idx="6">
                  <c:v>0.0389</c:v>
                </c:pt>
                <c:pt idx="7">
                  <c:v>0.0284</c:v>
                </c:pt>
                <c:pt idx="8">
                  <c:v>0.0354</c:v>
                </c:pt>
                <c:pt idx="9">
                  <c:v>0.0221</c:v>
                </c:pt>
                <c:pt idx="10">
                  <c:v>0.0334</c:v>
                </c:pt>
                <c:pt idx="11">
                  <c:v>0.0586</c:v>
                </c:pt>
                <c:pt idx="12">
                  <c:v>0.0225</c:v>
                </c:pt>
                <c:pt idx="13">
                  <c:v>0.0246</c:v>
                </c:pt>
                <c:pt idx="14">
                  <c:v>0.0267</c:v>
                </c:pt>
                <c:pt idx="15">
                  <c:v>0.0558</c:v>
                </c:pt>
                <c:pt idx="16">
                  <c:v>0.0627</c:v>
                </c:pt>
                <c:pt idx="17">
                  <c:v>0.1556</c:v>
                </c:pt>
                <c:pt idx="18">
                  <c:v>0.2342</c:v>
                </c:pt>
              </c:numCache>
            </c:numRef>
          </c:val>
        </c:ser>
        <c:dLbls>
          <c:showLegendKey val="0"/>
          <c:showVal val="1"/>
          <c:showCatName val="0"/>
          <c:showSerName val="0"/>
          <c:showPercent val="0"/>
          <c:showBubbleSize val="0"/>
        </c:dLbls>
        <c:gapWidth val="182"/>
        <c:axId val="439773632"/>
        <c:axId val="439773304"/>
      </c:barChart>
      <c:catAx>
        <c:axId val="439773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39773304"/>
        <c:crosses val="autoZero"/>
        <c:auto val="1"/>
        <c:lblAlgn val="ctr"/>
        <c:lblOffset val="100"/>
        <c:noMultiLvlLbl val="0"/>
      </c:catAx>
      <c:valAx>
        <c:axId val="43977330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39773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参观企业性质分析</a:t>
            </a:r>
            <a:endParaRPr lang="zh-CN" altLang="en-US"/>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Sheet1!$A$1:$A$2</c:f>
              <c:strCache>
                <c:ptCount val="2"/>
                <c:pt idx="0">
                  <c:v>生产制造</c:v>
                </c:pt>
                <c:pt idx="1">
                  <c:v>经营（经销、代理、贸易）</c:v>
                </c:pt>
              </c:strCache>
            </c:strRef>
          </c:cat>
          <c:val>
            <c:numRef>
              <c:f>Sheet1!$B$1:$B$2</c:f>
              <c:numCache>
                <c:formatCode>0.00%</c:formatCode>
                <c:ptCount val="2"/>
                <c:pt idx="0">
                  <c:v>0.7531</c:v>
                </c:pt>
                <c:pt idx="1">
                  <c:v>0.2469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观众职能分析</a:t>
            </a:r>
            <a:endParaRPr lang="zh-CN" altLang="en-US"/>
          </a:p>
        </c:rich>
      </c:tx>
      <c:layout/>
      <c:overlay val="0"/>
      <c:spPr>
        <a:noFill/>
        <a:ln>
          <a:noFill/>
        </a:ln>
        <a:effectLst/>
      </c:spPr>
    </c:title>
    <c:autoTitleDeleted val="0"/>
    <c:plotArea>
      <c:layout/>
      <c:barChart>
        <c:barDir val="bar"/>
        <c:grouping val="clustered"/>
        <c:varyColors val="0"/>
        <c:ser>
          <c:idx val="0"/>
          <c:order val="0"/>
          <c:tx>
            <c:strRef>
              <c:f>Sheet1!$A$5</c:f>
              <c:strCache>
                <c:ptCount val="1"/>
                <c:pt idx="0">
                  <c:v>生产</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Sheet1!$B$5</c:f>
              <c:numCache>
                <c:formatCode>0%</c:formatCode>
                <c:ptCount val="1"/>
                <c:pt idx="0">
                  <c:v>0.25</c:v>
                </c:pt>
              </c:numCache>
            </c:numRef>
          </c:val>
        </c:ser>
        <c:ser>
          <c:idx val="1"/>
          <c:order val="1"/>
          <c:tx>
            <c:strRef>
              <c:f>Sheet1!$A$6</c:f>
              <c:strCache>
                <c:ptCount val="1"/>
                <c:pt idx="0">
                  <c:v>管理</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Sheet1!$B$6</c:f>
              <c:numCache>
                <c:formatCode>0%</c:formatCode>
                <c:ptCount val="1"/>
                <c:pt idx="0">
                  <c:v>0.22</c:v>
                </c:pt>
              </c:numCache>
            </c:numRef>
          </c:val>
        </c:ser>
        <c:ser>
          <c:idx val="2"/>
          <c:order val="2"/>
          <c:tx>
            <c:strRef>
              <c:f>Sheet1!$A$7</c:f>
              <c:strCache>
                <c:ptCount val="1"/>
                <c:pt idx="0">
                  <c:v>采购</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Sheet1!$B$7</c:f>
              <c:numCache>
                <c:formatCode>0%</c:formatCode>
                <c:ptCount val="1"/>
                <c:pt idx="0">
                  <c:v>0.18</c:v>
                </c:pt>
              </c:numCache>
            </c:numRef>
          </c:val>
        </c:ser>
        <c:ser>
          <c:idx val="3"/>
          <c:order val="3"/>
          <c:tx>
            <c:strRef>
              <c:f>Sheet1!$A$8</c:f>
              <c:strCache>
                <c:ptCount val="1"/>
                <c:pt idx="0">
                  <c:v>市场</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Sheet1!$B$8</c:f>
              <c:numCache>
                <c:formatCode>0%</c:formatCode>
                <c:ptCount val="1"/>
                <c:pt idx="0">
                  <c:v>0.13</c:v>
                </c:pt>
              </c:numCache>
            </c:numRef>
          </c:val>
        </c:ser>
        <c:ser>
          <c:idx val="4"/>
          <c:order val="4"/>
          <c:tx>
            <c:strRef>
              <c:f>Sheet1!$A$9</c:f>
              <c:strCache>
                <c:ptCount val="1"/>
                <c:pt idx="0">
                  <c:v>销售</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Sheet1!$B$9</c:f>
              <c:numCache>
                <c:formatCode>0%</c:formatCode>
                <c:ptCount val="1"/>
                <c:pt idx="0">
                  <c:v>0.1</c:v>
                </c:pt>
              </c:numCache>
            </c:numRef>
          </c:val>
        </c:ser>
        <c:ser>
          <c:idx val="5"/>
          <c:order val="5"/>
          <c:tx>
            <c:strRef>
              <c:f>Sheet1!$A$10</c:f>
              <c:strCache>
                <c:ptCount val="1"/>
                <c:pt idx="0">
                  <c:v>研发</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Sheet1!$B$10</c:f>
              <c:numCache>
                <c:formatCode>0%</c:formatCode>
                <c:ptCount val="1"/>
                <c:pt idx="0">
                  <c:v>0.08</c:v>
                </c:pt>
              </c:numCache>
            </c:numRef>
          </c:val>
        </c:ser>
        <c:ser>
          <c:idx val="6"/>
          <c:order val="6"/>
          <c:tx>
            <c:strRef>
              <c:f>Sheet1!$A$11</c:f>
              <c:strCache>
                <c:ptCount val="1"/>
                <c:pt idx="0">
                  <c:v>其他</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Sheet1!$B$11</c:f>
              <c:numCache>
                <c:formatCode>0%</c:formatCode>
                <c:ptCount val="1"/>
                <c:pt idx="0">
                  <c:v>0.04</c:v>
                </c:pt>
              </c:numCache>
            </c:numRef>
          </c:val>
        </c:ser>
        <c:dLbls>
          <c:showLegendKey val="0"/>
          <c:showVal val="1"/>
          <c:showCatName val="0"/>
          <c:showSerName val="0"/>
          <c:showPercent val="0"/>
          <c:showBubbleSize val="0"/>
        </c:dLbls>
        <c:gapWidth val="182"/>
        <c:axId val="493355960"/>
        <c:axId val="493358912"/>
      </c:barChart>
      <c:catAx>
        <c:axId val="493355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93358912"/>
        <c:crosses val="autoZero"/>
        <c:auto val="1"/>
        <c:lblAlgn val="ctr"/>
        <c:lblOffset val="100"/>
        <c:noMultiLvlLbl val="0"/>
      </c:catAx>
      <c:valAx>
        <c:axId val="4933589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933559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t>参观目的分析</a:t>
            </a:r>
            <a:endParaRPr lang="zh-CN"/>
          </a:p>
        </c:rich>
      </c:tx>
      <c:layout>
        <c:manualLayout>
          <c:xMode val="edge"/>
          <c:yMode val="edge"/>
          <c:x val="0.411111111111111"/>
          <c:y val="0.0324074074074074"/>
        </c:manualLayout>
      </c:layout>
      <c:overlay val="0"/>
      <c:spPr>
        <a:noFill/>
        <a:ln>
          <a:noFill/>
        </a:ln>
        <a:effectLst/>
      </c:spPr>
    </c:title>
    <c:autoTitleDeleted val="0"/>
    <c:plotArea>
      <c:layout/>
      <c:doughnut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dLbl>
              <c:idx val="0"/>
              <c:layout>
                <c:manualLayout>
                  <c:x val="0.0472222222222222"/>
                  <c:y val="-0.0416666666666667"/>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55555555555555"/>
                  <c:y val="0.0277777777777777"/>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666666666666667"/>
                  <c:y val="0.060185185185185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888888888888889"/>
                  <c:y val="-8.48755627201333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27777777777778"/>
                  <c:y val="-0.0277777777777778"/>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666666666666667"/>
                  <c:y val="-0.0231481481481481"/>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666666666666667"/>
                  <c:y val="-0.060185185185185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Sheet1!$A$14:$A$20</c:f>
              <c:strCache>
                <c:ptCount val="7"/>
                <c:pt idx="0">
                  <c:v>收集市场信息</c:v>
                </c:pt>
                <c:pt idx="1">
                  <c:v>了解新产品</c:v>
                </c:pt>
                <c:pt idx="2">
                  <c:v>采购产品</c:v>
                </c:pt>
                <c:pt idx="3">
                  <c:v>一般接触</c:v>
                </c:pt>
                <c:pt idx="4">
                  <c:v>洽谈项目</c:v>
                </c:pt>
                <c:pt idx="5">
                  <c:v>为明年参展做准备</c:v>
                </c:pt>
                <c:pt idx="6">
                  <c:v>其他</c:v>
                </c:pt>
              </c:strCache>
            </c:strRef>
          </c:cat>
          <c:val>
            <c:numRef>
              <c:f>Sheet1!$B$14:$B$20</c:f>
              <c:numCache>
                <c:formatCode>0%</c:formatCode>
                <c:ptCount val="7"/>
                <c:pt idx="0">
                  <c:v>0.27</c:v>
                </c:pt>
                <c:pt idx="1">
                  <c:v>0.22</c:v>
                </c:pt>
                <c:pt idx="2">
                  <c:v>0.2</c:v>
                </c:pt>
                <c:pt idx="3">
                  <c:v>0.11</c:v>
                </c:pt>
                <c:pt idx="4">
                  <c:v>0.09</c:v>
                </c:pt>
                <c:pt idx="5">
                  <c:v>0.07</c:v>
                </c:pt>
                <c:pt idx="6">
                  <c:v>0.04</c:v>
                </c:pt>
              </c:numCache>
            </c:numRef>
          </c:val>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观众获取展会信息渠道</a:t>
            </a:r>
            <a:endParaRPr lang="zh-CN" altLang="en-US"/>
          </a:p>
        </c:rich>
      </c:tx>
      <c:layout/>
      <c:overlay val="0"/>
      <c:spPr>
        <a:noFill/>
        <a:ln>
          <a:noFill/>
        </a:ln>
        <a:effectLst/>
      </c:spPr>
    </c:title>
    <c:autoTitleDeleted val="0"/>
    <c:plotArea>
      <c:layout/>
      <c:radarChart>
        <c:radarStyle val="filled"/>
        <c:varyColors val="0"/>
        <c:ser>
          <c:idx val="0"/>
          <c:order val="0"/>
          <c:spPr>
            <a:solidFill>
              <a:schemeClr val="accent1"/>
            </a:solidFill>
            <a:ln>
              <a:solidFill>
                <a:schemeClr val="accent2"/>
              </a:solidFill>
            </a:ln>
            <a:effectLst/>
          </c:spPr>
          <c:marker>
            <c:symbol val="none"/>
          </c:marker>
          <c:dLbls>
            <c:dLbl>
              <c:idx val="6"/>
              <c:layout>
                <c:manualLayout>
                  <c:x val="0"/>
                  <c:y val="-0.060185185185185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客服电话</c:v>
                </c:pt>
                <c:pt idx="1">
                  <c:v>短信</c:v>
                </c:pt>
                <c:pt idx="2">
                  <c:v>彩信</c:v>
                </c:pt>
                <c:pt idx="3">
                  <c:v>微信</c:v>
                </c:pt>
                <c:pt idx="4">
                  <c:v>朋友圈</c:v>
                </c:pt>
                <c:pt idx="5">
                  <c:v>抖音</c:v>
                </c:pt>
                <c:pt idx="6">
                  <c:v>朋友推荐</c:v>
                </c:pt>
              </c:strCache>
            </c:strRef>
          </c:cat>
          <c:val>
            <c:numRef>
              <c:f>Sheet1!$B$2:$B$8</c:f>
              <c:numCache>
                <c:formatCode>0.00%</c:formatCode>
                <c:ptCount val="7"/>
                <c:pt idx="0">
                  <c:v>0.1857</c:v>
                </c:pt>
                <c:pt idx="1">
                  <c:v>0.0714</c:v>
                </c:pt>
                <c:pt idx="2">
                  <c:v>0.093</c:v>
                </c:pt>
                <c:pt idx="3">
                  <c:v>0.0857</c:v>
                </c:pt>
                <c:pt idx="4">
                  <c:v>0.1571</c:v>
                </c:pt>
                <c:pt idx="5">
                  <c:v>0.0972</c:v>
                </c:pt>
                <c:pt idx="6">
                  <c:v>0.3099</c:v>
                </c:pt>
              </c:numCache>
            </c:numRef>
          </c:val>
        </c:ser>
        <c:dLbls>
          <c:showLegendKey val="0"/>
          <c:showVal val="1"/>
          <c:showCatName val="0"/>
          <c:showSerName val="0"/>
          <c:showPercent val="0"/>
          <c:showBubbleSize val="0"/>
        </c:dLbls>
        <c:axId val="630470584"/>
        <c:axId val="630462712"/>
      </c:radarChart>
      <c:catAx>
        <c:axId val="630470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0462712"/>
        <c:crosses val="autoZero"/>
        <c:auto val="1"/>
        <c:lblAlgn val="ctr"/>
        <c:lblOffset val="100"/>
        <c:noMultiLvlLbl val="0"/>
      </c:catAx>
      <c:valAx>
        <c:axId val="630462712"/>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0470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22</Pages>
  <Words>1592</Words>
  <Characters>9075</Characters>
  <Lines>75</Lines>
  <Paragraphs>21</Paragraphs>
  <TotalTime>1</TotalTime>
  <ScaleCrop>false</ScaleCrop>
  <LinksUpToDate>false</LinksUpToDate>
  <CharactersWithSpaces>10646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2021-10-14T07:16:00Z</dcterms:created>
  <dc:creator>李阳家具展</dc:creator>
  <cp:lastModifiedBy>武汉展会z(☆张☆)</cp:lastModifiedBy>
  <dcterms:modified xsi:type="dcterms:W3CDTF">2023-10-19T06:43:29Z</dcterms:modified>
  <cp:revision>1198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79482A5596AB48889D4BE3F7E59541B8_13</vt:lpwstr>
  </property>
</Properties>
</file>