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2.webp" ContentType="image/webp"/>
  <Override PartName="/word/media/image13.webp" ContentType="image/webp"/>
  <Override PartName="/word/media/image14.webp" ContentType="image/webp"/>
  <Override PartName="/word/media/image15.webp" ContentType="image/webp"/>
  <Override PartName="/word/media/image17.webp" ContentType="image/webp"/>
  <Override PartName="/word/media/image18.webp" ContentType="image/webp"/>
  <Override PartName="/word/media/image2.webp" ContentType="image/webp"/>
  <Override PartName="/word/media/image3.webp" ContentType="image/webp"/>
  <Override PartName="/word/media/image4.webp" ContentType="image/webp"/>
  <Override PartName="/word/media/image5.webp" ContentType="image/webp"/>
  <Override PartName="/word/media/image6.webp" ContentType="image/webp"/>
  <Override PartName="/word/media/image7.webp" ContentType="image/webp"/>
  <Override PartName="/word/media/image8.webp" ContentType="image/webp"/>
  <Override PartName="/word/media/image9.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1629D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微软雅黑"/>
          <w:sz w:val="21"/>
          <w:szCs w:val="21"/>
        </w:rPr>
      </w:pPr>
      <w:r>
        <w:rPr>
          <w:rFonts w:hint="eastAsia" w:ascii="微软雅黑" w:hAnsi="微软雅黑" w:eastAsia="微软雅黑" w:cs="微软雅黑"/>
          <w:i w:val="0"/>
          <w:iCs w:val="0"/>
          <w:caps w:val="0"/>
          <w:spacing w:val="8"/>
          <w:sz w:val="33"/>
          <w:szCs w:val="33"/>
          <w:bdr w:val="none" w:color="auto" w:sz="0" w:space="0"/>
          <w:shd w:val="clear" w:fill="FFFFFF"/>
        </w:rPr>
        <w:t>餐饮黄金十年，西南西北成必争之地！2025 海名餐博会抢位火爆，新老客户齐聚！</w:t>
      </w:r>
    </w:p>
    <w:p w14:paraId="659A8179">
      <w:pPr>
        <w:bidi w:val="0"/>
        <w:rPr>
          <w:rFonts w:hint="eastAsia" w:ascii="微软雅黑" w:hAnsi="微软雅黑" w:eastAsia="微软雅黑" w:cs="微软雅黑"/>
        </w:rPr>
      </w:pPr>
      <w:r>
        <w:rPr>
          <w:rFonts w:hint="eastAsia" w:ascii="微软雅黑" w:hAnsi="微软雅黑" w:eastAsia="微软雅黑" w:cs="微软雅黑"/>
        </w:rPr>
        <w:t>全球经济下行，中国餐饮增速放缓，短期逐利、高毛率红利逐渐消失。但行业创新升级、效率增长、规模发展、品牌打造亦在滚滚向前。</w:t>
      </w:r>
    </w:p>
    <w:p w14:paraId="0B0191E9">
      <w:pPr>
        <w:bidi w:val="0"/>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5266690" cy="2964815"/>
            <wp:effectExtent l="0" t="0" r="10160" b="6985"/>
            <wp:docPr id="3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IMG_256"/>
                    <pic:cNvPicPr>
                      <a:picLocks noChangeAspect="1"/>
                    </pic:cNvPicPr>
                  </pic:nvPicPr>
                  <pic:blipFill>
                    <a:blip r:embed="rId4"/>
                    <a:stretch>
                      <a:fillRect/>
                    </a:stretch>
                  </pic:blipFill>
                  <pic:spPr>
                    <a:xfrm>
                      <a:off x="0" y="0"/>
                      <a:ext cx="5266690" cy="2964815"/>
                    </a:xfrm>
                    <a:prstGeom prst="rect">
                      <a:avLst/>
                    </a:prstGeom>
                    <a:noFill/>
                    <a:ln w="9525">
                      <a:noFill/>
                    </a:ln>
                  </pic:spPr>
                </pic:pic>
              </a:graphicData>
            </a:graphic>
          </wp:inline>
        </w:drawing>
      </w:r>
    </w:p>
    <w:p w14:paraId="34060956">
      <w:pPr>
        <w:bidi w:val="0"/>
        <w:rPr>
          <w:rFonts w:hint="eastAsia" w:ascii="微软雅黑" w:hAnsi="微软雅黑" w:eastAsia="微软雅黑" w:cs="微软雅黑"/>
        </w:rPr>
      </w:pPr>
      <w:r>
        <w:rPr>
          <w:rFonts w:hint="eastAsia" w:ascii="微软雅黑" w:hAnsi="微软雅黑" w:eastAsia="微软雅黑" w:cs="微软雅黑"/>
        </w:rPr>
        <w:t>海名餐饮供应链系列展（简称：海名餐博会）起源于2012年，是国内最早一批聚焦餐饮供应链领域的展会，是海名会展集团旗下的品牌旗舰展，深耕餐饮行业12年，与众多餐饮人一起成长同行，从调味品、食材……到供应链，伴随餐饮行业的快速发展和潮流变化而迭代升级，深入行业，服务行业、成为餐饮产业链中的一环。</w:t>
      </w:r>
    </w:p>
    <w:p w14:paraId="30B6CD84">
      <w:pPr>
        <w:bidi w:val="0"/>
        <w:rPr>
          <w:rFonts w:hint="eastAsia" w:ascii="微软雅黑" w:hAnsi="微软雅黑" w:eastAsia="微软雅黑" w:cs="微软雅黑"/>
        </w:rPr>
      </w:pPr>
      <w:r>
        <w:rPr>
          <w:rFonts w:hint="eastAsia" w:ascii="微软雅黑" w:hAnsi="微软雅黑" w:eastAsia="微软雅黑" w:cs="微软雅黑"/>
        </w:rPr>
        <w:t>在浩荡剧变的新时代激流中，唯有长期主义才能够生生不息，唯有持续创新才能立时代之潮头。</w:t>
      </w:r>
    </w:p>
    <w:p w14:paraId="4F23EE3E">
      <w:pPr>
        <w:bidi w:val="0"/>
        <w:rPr>
          <w:rFonts w:hint="eastAsia" w:ascii="微软雅黑" w:hAnsi="微软雅黑" w:eastAsia="微软雅黑" w:cs="微软雅黑"/>
        </w:rPr>
      </w:pPr>
    </w:p>
    <w:p w14:paraId="5E85ED73">
      <w:pPr>
        <w:bidi w:val="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找准市场选对平台</w:t>
      </w:r>
    </w:p>
    <w:p w14:paraId="34BAA173">
      <w:pPr>
        <w:bidi w:val="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2025海名餐博会</w:t>
      </w:r>
    </w:p>
    <w:p w14:paraId="638FFA8F">
      <w:pPr>
        <w:bidi w:val="0"/>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val="en-US" w:eastAsia="zh-CN"/>
        </w:rPr>
        <w:t>持续赋能餐饮产业上下游‍‍</w:t>
      </w:r>
    </w:p>
    <w:p w14:paraId="50D8FD9F">
      <w:pPr>
        <w:bidi w:val="0"/>
        <w:rPr>
          <w:rFonts w:hint="eastAsia" w:ascii="微软雅黑" w:hAnsi="微软雅黑" w:eastAsia="微软雅黑" w:cs="微软雅黑"/>
        </w:rPr>
      </w:pPr>
      <w:r>
        <w:rPr>
          <w:rFonts w:hint="eastAsia" w:ascii="微软雅黑" w:hAnsi="微软雅黑" w:eastAsia="微软雅黑" w:cs="微软雅黑"/>
        </w:rPr>
        <w:t>海名餐博会作为餐饮行业的观察者、分析者和服务者，一直保持着高敏锐度和专业度。不断创新平台价值，领先打造</w:t>
      </w:r>
      <w:r>
        <w:rPr>
          <w:rFonts w:hint="eastAsia" w:ascii="微软雅黑" w:hAnsi="微软雅黑" w:eastAsia="微软雅黑" w:cs="微软雅黑"/>
          <w:b/>
          <w:bCs/>
        </w:rPr>
        <w:t>中国餐饮供应链系列旗舰大展，“会展＋产业”综合服务平台——品牌展览、行业论坛、产业活动、行业赛事、选品对接、新品发布及品鉴、产业链考察、资源对接、新媒体矩阵。</w:t>
      </w:r>
      <w:r>
        <w:rPr>
          <w:rFonts w:hint="eastAsia" w:ascii="微软雅黑" w:hAnsi="微软雅黑" w:eastAsia="微软雅黑" w:cs="微软雅黑"/>
        </w:rPr>
        <w:t>持续赋能参展企业渠道下沉，拓展一二线下沉三四线城市，联动餐饮连锁、一批二批经销商/渠道商、食材供应链、贸易流通配送、团餐、商超、食材生产性企业等区域核心采购资源，打造区域全产业链、全品类、全渠道供应链大展，搭建上下游产业链高效互动平台，助力供应链升级、效率提升。</w:t>
      </w:r>
    </w:p>
    <w:p w14:paraId="2098D78A">
      <w:pPr>
        <w:bidi w:val="0"/>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5266690" cy="5808345"/>
            <wp:effectExtent l="0" t="0" r="10160" b="1905"/>
            <wp:docPr id="4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IMG_257"/>
                    <pic:cNvPicPr>
                      <a:picLocks noChangeAspect="1"/>
                    </pic:cNvPicPr>
                  </pic:nvPicPr>
                  <pic:blipFill>
                    <a:blip r:embed="rId5"/>
                    <a:stretch>
                      <a:fillRect/>
                    </a:stretch>
                  </pic:blipFill>
                  <pic:spPr>
                    <a:xfrm>
                      <a:off x="0" y="0"/>
                      <a:ext cx="5266690" cy="5808345"/>
                    </a:xfrm>
                    <a:prstGeom prst="rect">
                      <a:avLst/>
                    </a:prstGeom>
                    <a:noFill/>
                    <a:ln w="9525">
                      <a:noFill/>
                    </a:ln>
                  </pic:spPr>
                </pic:pic>
              </a:graphicData>
            </a:graphic>
          </wp:inline>
        </w:drawing>
      </w:r>
    </w:p>
    <w:p w14:paraId="167B6B78">
      <w:pPr>
        <w:bidi w:val="0"/>
        <w:rPr>
          <w:rFonts w:hint="eastAsia" w:ascii="微软雅黑" w:hAnsi="微软雅黑" w:eastAsia="微软雅黑" w:cs="微软雅黑"/>
        </w:rPr>
      </w:pPr>
      <w:r>
        <w:rPr>
          <w:rFonts w:hint="eastAsia" w:ascii="微软雅黑" w:hAnsi="微软雅黑" w:eastAsia="微软雅黑" w:cs="微软雅黑"/>
        </w:rPr>
        <w:t>自2025海名餐博会全面启动以来，通过几个月的行业协会走访、市场调研、供应链上下游企业需求调研、24年会后盘点、数据补充等，集平台力量，整合行业各方资源，共同推动落实“会展+产业”服务。在</w:t>
      </w:r>
      <w:r>
        <w:rPr>
          <w:rFonts w:hint="eastAsia" w:ascii="微软雅黑" w:hAnsi="微软雅黑" w:eastAsia="微软雅黑" w:cs="微软雅黑"/>
          <w:b/>
          <w:bCs/>
        </w:rPr>
        <w:t>展位招商、地市巡回食材品鉴系列产业活动、行业论坛赛事合作、观众组织等</w:t>
      </w:r>
      <w:r>
        <w:rPr>
          <w:rFonts w:hint="eastAsia" w:ascii="微软雅黑" w:hAnsi="微软雅黑" w:eastAsia="微软雅黑" w:cs="微软雅黑"/>
        </w:rPr>
        <w:t>方面均取得超预期的好成绩。</w:t>
      </w:r>
    </w:p>
    <w:p w14:paraId="50E5345E">
      <w:pPr>
        <w:bidi w:val="0"/>
        <w:rPr>
          <w:rFonts w:hint="eastAsia" w:ascii="微软雅黑" w:hAnsi="微软雅黑" w:eastAsia="微软雅黑" w:cs="微软雅黑"/>
        </w:rPr>
      </w:pPr>
    </w:p>
    <w:p w14:paraId="56170002">
      <w:pPr>
        <w:bidi w:val="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细分主题精准匹配</w:t>
      </w:r>
    </w:p>
    <w:p w14:paraId="30B6C780">
      <w:pPr>
        <w:bidi w:val="0"/>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val="en-US" w:eastAsia="zh-CN"/>
        </w:rPr>
        <w:t>黄金展位即将售罄</w:t>
      </w:r>
    </w:p>
    <w:p w14:paraId="5E8170D4">
      <w:pPr>
        <w:bidi w:val="0"/>
        <w:rPr>
          <w:rFonts w:hint="eastAsia" w:ascii="微软雅黑" w:hAnsi="微软雅黑" w:eastAsia="微软雅黑" w:cs="微软雅黑"/>
          <w:lang w:eastAsia="zh-CN"/>
        </w:rPr>
      </w:pPr>
      <w:r>
        <w:rPr>
          <w:rFonts w:hint="eastAsia" w:ascii="微软雅黑" w:hAnsi="微软雅黑" w:eastAsia="微软雅黑" w:cs="微软雅黑"/>
        </w:rPr>
        <w:t>海名餐博会（成都展、西安展）在规模、展商、产品、观众、辐射地域、活动、参会人数等方面</w:t>
      </w:r>
      <w:r>
        <w:rPr>
          <w:rFonts w:hint="eastAsia" w:ascii="微软雅黑" w:hAnsi="微软雅黑" w:eastAsia="微软雅黑" w:cs="微软雅黑"/>
          <w:b/>
          <w:bCs/>
        </w:rPr>
        <w:t>连续多年持续增长</w:t>
      </w:r>
      <w:r>
        <w:rPr>
          <w:rFonts w:hint="eastAsia" w:ascii="微软雅黑" w:hAnsi="微软雅黑" w:eastAsia="微软雅黑" w:cs="微软雅黑"/>
        </w:rPr>
        <w:t>，获得了餐饮业、会展业以及各界的多重支持与认可。2025海名餐博会展览面积翻倍，更大规模、更强品牌、更好效果、更强吸引力，以“多展联动、布局全国、细分市场、服务产业”的项目宗旨，为行业提供专业、严谨、创新的服务，承担大展责任，彰显大展风采</w:t>
      </w:r>
      <w:r>
        <w:rPr>
          <w:rFonts w:hint="eastAsia" w:ascii="微软雅黑" w:hAnsi="微软雅黑" w:eastAsia="微软雅黑" w:cs="微软雅黑"/>
          <w:lang w:eastAsia="zh-CN"/>
        </w:rPr>
        <w:t>。</w:t>
      </w:r>
    </w:p>
    <w:p w14:paraId="520DC147">
      <w:pPr>
        <w:bidi w:val="0"/>
        <w:rPr>
          <w:rFonts w:hint="eastAsia" w:ascii="微软雅黑" w:hAnsi="微软雅黑" w:eastAsia="微软雅黑" w:cs="微软雅黑"/>
          <w:b/>
          <w:bCs/>
        </w:rPr>
      </w:pPr>
      <w:r>
        <w:rPr>
          <w:rFonts w:hint="eastAsia" w:ascii="微软雅黑" w:hAnsi="微软雅黑" w:eastAsia="微软雅黑" w:cs="微软雅黑"/>
          <w:b/>
          <w:bCs/>
        </w:rPr>
        <w:t>截止目前，已经有更多的新客户选择参加2025海名餐博会。75%的老客户持续并加码投入西南西北市场。</w:t>
      </w:r>
    </w:p>
    <w:p w14:paraId="01D7A5BE">
      <w:pPr>
        <w:bidi w:val="0"/>
        <w:rPr>
          <w:rFonts w:hint="eastAsia" w:ascii="微软雅黑" w:hAnsi="微软雅黑" w:eastAsia="微软雅黑" w:cs="微软雅黑"/>
        </w:rPr>
      </w:pPr>
      <w:r>
        <w:rPr>
          <w:rFonts w:hint="eastAsia" w:ascii="微软雅黑" w:hAnsi="微软雅黑" w:eastAsia="微软雅黑" w:cs="微软雅黑"/>
        </w:rPr>
        <w:t>如：馨田、仟味、圣恩、火娃、无厨、宽味、蓉城巷子、安琪酵母、厨丰、蜀秘、劲霸、皓元、品佳、味滋美、学堂油脂、老坛子、凯鸿、味之源、味滋香、一品筷厨；联富、鼎味泰、草原鑫茂、思瑞、味彩、巧阳、憨憨豆匠、怀药堂、铭记、蜀天下、万壮、友联海味品、宸立、骄启、广和食品、牧良逢、福建苗宸食带、三丰；川海品宴、名珍、崇膳、艾氏、掌中勺、鑫钰隆、蓉宴府、阿言、兄弟食材；百洋海味、蓝虾、海文铭、安欣海味、中亿渔港、亚丰、守艺坊、厨味轩；陕西好牛、一星、老羊头、陕北横山、臻牧、大成、拉丁朗德、福统帅、丰瑞、弘朗、铭记、诺比优；百斯特、米禾、百斯特、绿秦、慷达、冀鲁、诚晨；金棒棒、衫巨、柯瑞姆、荟氏、圣铭工贸；冰熊意伯纳、迈巴特、蜀木时代、艾斯比尔、长膳智能、巨业；田福机械、领创、上海祎飞、瑞康、福地佰特、蜀味邦、热景……</w:t>
      </w:r>
    </w:p>
    <w:p w14:paraId="050140FB">
      <w:pPr>
        <w:bidi w:val="0"/>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3599815" cy="2493645"/>
            <wp:effectExtent l="0" t="0" r="635" b="1905"/>
            <wp:docPr id="3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descr="IMG_258"/>
                    <pic:cNvPicPr>
                      <a:picLocks noChangeAspect="1"/>
                    </pic:cNvPicPr>
                  </pic:nvPicPr>
                  <pic:blipFill>
                    <a:blip r:embed="rId6"/>
                    <a:stretch>
                      <a:fillRect/>
                    </a:stretch>
                  </pic:blipFill>
                  <pic:spPr>
                    <a:xfrm>
                      <a:off x="0" y="0"/>
                      <a:ext cx="3599815" cy="2493645"/>
                    </a:xfrm>
                    <a:prstGeom prst="rect">
                      <a:avLst/>
                    </a:prstGeom>
                    <a:noFill/>
                    <a:ln w="9525">
                      <a:noFill/>
                    </a:ln>
                  </pic:spPr>
                </pic:pic>
              </a:graphicData>
            </a:graphic>
          </wp:inline>
        </w:drawing>
      </w:r>
    </w:p>
    <w:p w14:paraId="44339D51">
      <w:pPr>
        <w:bidi w:val="0"/>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3599815" cy="2246630"/>
            <wp:effectExtent l="0" t="0" r="635" b="1270"/>
            <wp:docPr id="3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descr="IMG_259"/>
                    <pic:cNvPicPr>
                      <a:picLocks noChangeAspect="1"/>
                    </pic:cNvPicPr>
                  </pic:nvPicPr>
                  <pic:blipFill>
                    <a:blip r:embed="rId7"/>
                    <a:stretch>
                      <a:fillRect/>
                    </a:stretch>
                  </pic:blipFill>
                  <pic:spPr>
                    <a:xfrm>
                      <a:off x="0" y="0"/>
                      <a:ext cx="3599815" cy="2246630"/>
                    </a:xfrm>
                    <a:prstGeom prst="rect">
                      <a:avLst/>
                    </a:prstGeom>
                    <a:noFill/>
                    <a:ln w="9525">
                      <a:noFill/>
                    </a:ln>
                  </pic:spPr>
                </pic:pic>
              </a:graphicData>
            </a:graphic>
          </wp:inline>
        </w:drawing>
      </w:r>
    </w:p>
    <w:p w14:paraId="6FB927BF">
      <w:pPr>
        <w:bidi w:val="0"/>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3599815" cy="2827020"/>
            <wp:effectExtent l="0" t="0" r="635" b="11430"/>
            <wp:docPr id="4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descr="IMG_260"/>
                    <pic:cNvPicPr>
                      <a:picLocks noChangeAspect="1"/>
                    </pic:cNvPicPr>
                  </pic:nvPicPr>
                  <pic:blipFill>
                    <a:blip r:embed="rId8"/>
                    <a:stretch>
                      <a:fillRect/>
                    </a:stretch>
                  </pic:blipFill>
                  <pic:spPr>
                    <a:xfrm>
                      <a:off x="0" y="0"/>
                      <a:ext cx="3599815" cy="2827020"/>
                    </a:xfrm>
                    <a:prstGeom prst="rect">
                      <a:avLst/>
                    </a:prstGeom>
                    <a:noFill/>
                    <a:ln w="9525">
                      <a:noFill/>
                    </a:ln>
                  </pic:spPr>
                </pic:pic>
              </a:graphicData>
            </a:graphic>
          </wp:inline>
        </w:drawing>
      </w:r>
    </w:p>
    <w:p w14:paraId="5EA3DA67">
      <w:pPr>
        <w:bidi w:val="0"/>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3599815" cy="2493645"/>
            <wp:effectExtent l="0" t="0" r="635" b="1905"/>
            <wp:docPr id="4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descr="IMG_261"/>
                    <pic:cNvPicPr>
                      <a:picLocks noChangeAspect="1"/>
                    </pic:cNvPicPr>
                  </pic:nvPicPr>
                  <pic:blipFill>
                    <a:blip r:embed="rId9"/>
                    <a:stretch>
                      <a:fillRect/>
                    </a:stretch>
                  </pic:blipFill>
                  <pic:spPr>
                    <a:xfrm>
                      <a:off x="0" y="0"/>
                      <a:ext cx="3599815" cy="2493645"/>
                    </a:xfrm>
                    <a:prstGeom prst="rect">
                      <a:avLst/>
                    </a:prstGeom>
                    <a:noFill/>
                    <a:ln w="9525">
                      <a:noFill/>
                    </a:ln>
                  </pic:spPr>
                </pic:pic>
              </a:graphicData>
            </a:graphic>
          </wp:inline>
        </w:drawing>
      </w:r>
    </w:p>
    <w:p w14:paraId="144DE647">
      <w:pPr>
        <w:bidi w:val="0"/>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3599815" cy="2546985"/>
            <wp:effectExtent l="0" t="0" r="635" b="5715"/>
            <wp:docPr id="4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descr="IMG_262"/>
                    <pic:cNvPicPr>
                      <a:picLocks noChangeAspect="1"/>
                    </pic:cNvPicPr>
                  </pic:nvPicPr>
                  <pic:blipFill>
                    <a:blip r:embed="rId10"/>
                    <a:stretch>
                      <a:fillRect/>
                    </a:stretch>
                  </pic:blipFill>
                  <pic:spPr>
                    <a:xfrm>
                      <a:off x="0" y="0"/>
                      <a:ext cx="3599815" cy="2546985"/>
                    </a:xfrm>
                    <a:prstGeom prst="rect">
                      <a:avLst/>
                    </a:prstGeom>
                    <a:noFill/>
                    <a:ln w="9525">
                      <a:noFill/>
                    </a:ln>
                  </pic:spPr>
                </pic:pic>
              </a:graphicData>
            </a:graphic>
          </wp:inline>
        </w:drawing>
      </w:r>
    </w:p>
    <w:p w14:paraId="0ACCFFBB">
      <w:pPr>
        <w:bidi w:val="0"/>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3239770" cy="3239770"/>
            <wp:effectExtent l="0" t="0" r="17780" b="17780"/>
            <wp:docPr id="4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descr="IMG_263"/>
                    <pic:cNvPicPr>
                      <a:picLocks noChangeAspect="1"/>
                    </pic:cNvPicPr>
                  </pic:nvPicPr>
                  <pic:blipFill>
                    <a:blip r:embed="rId11"/>
                    <a:stretch>
                      <a:fillRect/>
                    </a:stretch>
                  </pic:blipFill>
                  <pic:spPr>
                    <a:xfrm>
                      <a:off x="0" y="0"/>
                      <a:ext cx="3239770" cy="3239770"/>
                    </a:xfrm>
                    <a:prstGeom prst="rect">
                      <a:avLst/>
                    </a:prstGeom>
                    <a:noFill/>
                    <a:ln w="9525">
                      <a:noFill/>
                    </a:ln>
                  </pic:spPr>
                </pic:pic>
              </a:graphicData>
            </a:graphic>
          </wp:inline>
        </w:drawing>
      </w:r>
    </w:p>
    <w:p w14:paraId="5D63F8B3">
      <w:pPr>
        <w:bidi w:val="0"/>
        <w:rPr>
          <w:rFonts w:hint="eastAsia" w:ascii="微软雅黑" w:hAnsi="微软雅黑" w:eastAsia="微软雅黑" w:cs="微软雅黑"/>
        </w:rPr>
      </w:pPr>
      <w:r>
        <w:rPr>
          <w:rFonts w:hint="eastAsia" w:ascii="微软雅黑" w:hAnsi="微软雅黑" w:eastAsia="微软雅黑" w:cs="微软雅黑"/>
        </w:rPr>
        <w:t>未来十年，是餐饮业的黄金十年，西南西北是找增长、找突破的必争之地已成为众多餐饮供应链企业的共识，海名餐博会的抢位火爆也印证了这一观点。海名餐博会的成功举办与壮大发展必将为中西部餐饮市场带来新的活力和机遇。我们共同奔赴未来十年！</w:t>
      </w:r>
    </w:p>
    <w:p w14:paraId="10EE754F">
      <w:pPr>
        <w:bidi w:val="0"/>
        <w:rPr>
          <w:rFonts w:hint="eastAsia" w:ascii="微软雅黑" w:hAnsi="微软雅黑" w:eastAsia="微软雅黑" w:cs="微软雅黑"/>
        </w:rPr>
      </w:pPr>
    </w:p>
    <w:p w14:paraId="7BA869CB">
      <w:pPr>
        <w:bidi w:val="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千万投入数字化运营</w:t>
      </w:r>
    </w:p>
    <w:p w14:paraId="7407B0E9">
      <w:pPr>
        <w:bidi w:val="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力促专业观众增长</w:t>
      </w:r>
    </w:p>
    <w:p w14:paraId="0ED23E79">
      <w:pPr>
        <w:bidi w:val="0"/>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val="en-US" w:eastAsia="zh-CN"/>
        </w:rPr>
        <w:t>保障参展效果</w:t>
      </w:r>
    </w:p>
    <w:p w14:paraId="5EB5C50A">
      <w:pPr>
        <w:bidi w:val="0"/>
        <w:rPr>
          <w:rFonts w:hint="eastAsia" w:ascii="微软雅黑" w:hAnsi="微软雅黑" w:eastAsia="微软雅黑" w:cs="微软雅黑"/>
        </w:rPr>
      </w:pPr>
      <w:r>
        <w:rPr>
          <w:rFonts w:hint="eastAsia" w:ascii="微软雅黑" w:hAnsi="微软雅黑" w:eastAsia="微软雅黑" w:cs="微软雅黑"/>
        </w:rPr>
        <w:t>2025海名餐博会在展区规划上细分主题，严选参展企业品质、扩大细分品类展览规模。通过新媒体矩阵、小程序、官网、私域社群、行业媒体、产业活动、《餐饮供应链优选》手册&amp;地推月报等线上线下全渠道、多形式、高频次宣传推广参展企业信息，将企业参展价值最大化。</w:t>
      </w:r>
    </w:p>
    <w:p w14:paraId="72BB045E">
      <w:pPr>
        <w:bidi w:val="0"/>
        <w:rPr>
          <w:rFonts w:hint="eastAsia" w:ascii="微软雅黑" w:hAnsi="微软雅黑" w:eastAsia="微软雅黑" w:cs="微软雅黑"/>
          <w:b/>
          <w:bCs/>
        </w:rPr>
      </w:pPr>
      <w:r>
        <w:rPr>
          <w:rFonts w:hint="eastAsia" w:ascii="微软雅黑" w:hAnsi="微软雅黑" w:eastAsia="微软雅黑" w:cs="微软雅黑"/>
          <w:b/>
          <w:bCs/>
          <w:lang w:val="en-US" w:eastAsia="zh-CN"/>
        </w:rPr>
        <w:t>“海名餐博会”小程序升级上线   </w:t>
      </w:r>
    </w:p>
    <w:p w14:paraId="5A66B54D">
      <w:pPr>
        <w:bidi w:val="0"/>
        <w:rPr>
          <w:rFonts w:hint="eastAsia" w:ascii="微软雅黑" w:hAnsi="微软雅黑" w:eastAsia="微软雅黑" w:cs="微软雅黑"/>
        </w:rPr>
      </w:pPr>
      <w:r>
        <w:rPr>
          <w:rFonts w:hint="eastAsia" w:ascii="微软雅黑" w:hAnsi="微软雅黑" w:eastAsia="微软雅黑" w:cs="微软雅黑"/>
        </w:rPr>
        <w:t>海名餐博会小程序持续升级，主要功能包含：展会动态、展商信息、热点资讯、参观服务、行业活动、供需对接、新品发布、线上直播、线上课程等。轻松实现从产品展示推广到供需精准对接的全流程数字化升级，畅享高效、智能、精准的展会服务新体验！</w:t>
      </w:r>
    </w:p>
    <w:p w14:paraId="20C266CF">
      <w:pPr>
        <w:bidi w:val="0"/>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5266690" cy="2911475"/>
            <wp:effectExtent l="0" t="0" r="10160" b="3175"/>
            <wp:docPr id="48" name="图片 9" descr="IMG_26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descr="IMG_264"/>
                    <pic:cNvPicPr>
                      <a:picLocks noChangeAspect="1"/>
                    </pic:cNvPicPr>
                  </pic:nvPicPr>
                  <pic:blipFill>
                    <a:blip r:embed="rId13"/>
                    <a:stretch>
                      <a:fillRect/>
                    </a:stretch>
                  </pic:blipFill>
                  <pic:spPr>
                    <a:xfrm>
                      <a:off x="0" y="0"/>
                      <a:ext cx="5266690" cy="2911475"/>
                    </a:xfrm>
                    <a:prstGeom prst="rect">
                      <a:avLst/>
                    </a:prstGeom>
                    <a:noFill/>
                    <a:ln w="9525">
                      <a:noFill/>
                    </a:ln>
                  </pic:spPr>
                </pic:pic>
              </a:graphicData>
            </a:graphic>
          </wp:inline>
        </w:drawing>
      </w:r>
    </w:p>
    <w:p w14:paraId="3EA45390">
      <w:pPr>
        <w:bidi w:val="0"/>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 线下多渠道广告全面上线  </w:t>
      </w:r>
    </w:p>
    <w:p w14:paraId="6C48EA06">
      <w:p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为提高展会品牌影响力，扩大展会辐射地域，海名餐博会重金投入，在成都、重庆、甘肃、云南、贵州、西安等中西部餐饮市场各大水产冻品、调味品、酒店用品、厨具用品批发市场投放100余专业市场广告。‍</w:t>
      </w:r>
    </w:p>
    <w:p w14:paraId="0364A480">
      <w:p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在重庆、青岛、武汉、广州等地区上线地铁广告，强势霸屏流量高地，精准覆盖火锅食材、渔业、餐饮设备等板块专业观众。</w:t>
      </w:r>
    </w:p>
    <w:p w14:paraId="04147953">
      <w:p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在四川、昆明、云南、陕西、甘肃、宁夏、河南、山西等省份投放地级市及城区市县路线1000余辆物流车广告。线上线下全面覆盖。</w:t>
      </w:r>
    </w:p>
    <w:p w14:paraId="458608B9">
      <w:pPr>
        <w:bidi w:val="0"/>
        <w:rPr>
          <w:rFonts w:hint="eastAsia" w:ascii="微软雅黑" w:hAnsi="微软雅黑" w:eastAsia="微软雅黑" w:cs="微软雅黑"/>
          <w:lang w:val="en-US" w:eastAsia="zh-CN"/>
        </w:rPr>
      </w:pPr>
    </w:p>
    <w:p w14:paraId="5900A04A">
      <w:pPr>
        <w:bidi w:val="0"/>
        <w:rPr>
          <w:rFonts w:hint="eastAsia" w:ascii="微软雅黑" w:hAnsi="微软雅黑" w:eastAsia="微软雅黑" w:cs="微软雅黑"/>
        </w:rPr>
      </w:pPr>
      <w:r>
        <w:rPr>
          <w:rFonts w:hint="eastAsia" w:ascii="微软雅黑" w:hAnsi="微软雅黑" w:eastAsia="微软雅黑" w:cs="微软雅黑"/>
        </w:rPr>
        <w:t>市场广告▼</w:t>
      </w:r>
    </w:p>
    <w:p w14:paraId="0B9EB375">
      <w:pPr>
        <w:bidi w:val="0"/>
        <w:rPr>
          <w:rFonts w:hint="eastAsia" w:ascii="微软雅黑" w:hAnsi="微软雅黑" w:eastAsia="微软雅黑" w:cs="微软雅黑"/>
        </w:rPr>
      </w:pPr>
      <w:r>
        <w:rPr>
          <w:rFonts w:hint="eastAsia" w:ascii="微软雅黑" w:hAnsi="微软雅黑" w:eastAsia="微软雅黑" w:cs="微软雅黑"/>
          <w:lang w:eastAsia="zh-CN"/>
        </w:rPr>
        <w:drawing>
          <wp:inline distT="0" distB="0" distL="114300" distR="114300">
            <wp:extent cx="2879725" cy="3001645"/>
            <wp:effectExtent l="0" t="0" r="15875" b="8255"/>
            <wp:docPr id="50" name="图片 50" descr="173684130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736841305122"/>
                    <pic:cNvPicPr>
                      <a:picLocks noChangeAspect="1"/>
                    </pic:cNvPicPr>
                  </pic:nvPicPr>
                  <pic:blipFill>
                    <a:blip r:embed="rId14"/>
                    <a:stretch>
                      <a:fillRect/>
                    </a:stretch>
                  </pic:blipFill>
                  <pic:spPr>
                    <a:xfrm>
                      <a:off x="0" y="0"/>
                      <a:ext cx="2879725" cy="3001645"/>
                    </a:xfrm>
                    <a:prstGeom prst="rect">
                      <a:avLst/>
                    </a:prstGeom>
                  </pic:spPr>
                </pic:pic>
              </a:graphicData>
            </a:graphic>
          </wp:inline>
        </w:drawing>
      </w:r>
      <w:r>
        <w:rPr>
          <w:rFonts w:hint="eastAsia" w:ascii="微软雅黑" w:hAnsi="微软雅黑" w:eastAsia="微软雅黑" w:cs="微软雅黑"/>
          <w:lang w:eastAsia="zh-CN"/>
        </w:rPr>
        <w:drawing>
          <wp:inline distT="0" distB="0" distL="114300" distR="114300">
            <wp:extent cx="2879725" cy="3995420"/>
            <wp:effectExtent l="0" t="0" r="15875" b="5080"/>
            <wp:docPr id="51" name="图片 51" descr="173684133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736841331778"/>
                    <pic:cNvPicPr>
                      <a:picLocks noChangeAspect="1"/>
                    </pic:cNvPicPr>
                  </pic:nvPicPr>
                  <pic:blipFill>
                    <a:blip r:embed="rId15"/>
                    <a:stretch>
                      <a:fillRect/>
                    </a:stretch>
                  </pic:blipFill>
                  <pic:spPr>
                    <a:xfrm>
                      <a:off x="0" y="0"/>
                      <a:ext cx="2879725" cy="3995420"/>
                    </a:xfrm>
                    <a:prstGeom prst="rect">
                      <a:avLst/>
                    </a:prstGeom>
                  </pic:spPr>
                </pic:pic>
              </a:graphicData>
            </a:graphic>
          </wp:inline>
        </w:drawing>
      </w:r>
    </w:p>
    <w:p w14:paraId="315E227E">
      <w:pPr>
        <w:bidi w:val="0"/>
        <w:rPr>
          <w:rFonts w:hint="eastAsia" w:ascii="微软雅黑" w:hAnsi="微软雅黑" w:eastAsia="微软雅黑" w:cs="微软雅黑"/>
        </w:rPr>
      </w:pPr>
      <w:r>
        <w:rPr>
          <w:rFonts w:hint="eastAsia" w:ascii="微软雅黑" w:hAnsi="微软雅黑" w:eastAsia="微软雅黑" w:cs="微软雅黑"/>
        </w:rPr>
        <w:t>*部分宣传见证</w:t>
      </w:r>
    </w:p>
    <w:p w14:paraId="3F87B031">
      <w:pPr>
        <w:bidi w:val="0"/>
        <w:rPr>
          <w:rFonts w:hint="eastAsia" w:ascii="微软雅黑" w:hAnsi="微软雅黑" w:eastAsia="微软雅黑" w:cs="微软雅黑"/>
        </w:rPr>
      </w:pPr>
    </w:p>
    <w:p w14:paraId="6270CB55">
      <w:pPr>
        <w:bidi w:val="0"/>
        <w:rPr>
          <w:rFonts w:hint="eastAsia" w:ascii="微软雅黑" w:hAnsi="微软雅黑" w:eastAsia="微软雅黑" w:cs="微软雅黑"/>
        </w:rPr>
      </w:pPr>
      <w:r>
        <w:rPr>
          <w:rFonts w:hint="eastAsia" w:ascii="微软雅黑" w:hAnsi="微软雅黑" w:eastAsia="微软雅黑" w:cs="微软雅黑"/>
        </w:rPr>
        <w:t>地铁广告▼</w:t>
      </w:r>
    </w:p>
    <w:p w14:paraId="12A51ABA">
      <w:pPr>
        <w:bidi w:val="0"/>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879725" cy="2725420"/>
            <wp:effectExtent l="0" t="0" r="15875" b="17780"/>
            <wp:docPr id="3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descr="IMG_266"/>
                    <pic:cNvPicPr>
                      <a:picLocks noChangeAspect="1"/>
                    </pic:cNvPicPr>
                  </pic:nvPicPr>
                  <pic:blipFill>
                    <a:blip r:embed="rId16"/>
                    <a:stretch>
                      <a:fillRect/>
                    </a:stretch>
                  </pic:blipFill>
                  <pic:spPr>
                    <a:xfrm>
                      <a:off x="0" y="0"/>
                      <a:ext cx="2879725" cy="2725420"/>
                    </a:xfrm>
                    <a:prstGeom prst="rect">
                      <a:avLst/>
                    </a:prstGeom>
                    <a:noFill/>
                    <a:ln w="9525">
                      <a:noFill/>
                    </a:ln>
                  </pic:spPr>
                </pic:pic>
              </a:graphicData>
            </a:graphic>
          </wp:inline>
        </w:drawing>
      </w:r>
    </w:p>
    <w:p w14:paraId="4C890730">
      <w:pPr>
        <w:bidi w:val="0"/>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879725" cy="2139950"/>
            <wp:effectExtent l="0" t="0" r="15875" b="12700"/>
            <wp:docPr id="3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descr="IMG_267"/>
                    <pic:cNvPicPr>
                      <a:picLocks noChangeAspect="1"/>
                    </pic:cNvPicPr>
                  </pic:nvPicPr>
                  <pic:blipFill>
                    <a:blip r:embed="rId17"/>
                    <a:stretch>
                      <a:fillRect/>
                    </a:stretch>
                  </pic:blipFill>
                  <pic:spPr>
                    <a:xfrm>
                      <a:off x="0" y="0"/>
                      <a:ext cx="2879725" cy="2139950"/>
                    </a:xfrm>
                    <a:prstGeom prst="rect">
                      <a:avLst/>
                    </a:prstGeom>
                    <a:noFill/>
                    <a:ln w="9525">
                      <a:noFill/>
                    </a:ln>
                  </pic:spPr>
                </pic:pic>
              </a:graphicData>
            </a:graphic>
          </wp:inline>
        </w:drawing>
      </w:r>
    </w:p>
    <w:p w14:paraId="174FA5EB">
      <w:pPr>
        <w:bidi w:val="0"/>
        <w:rPr>
          <w:rFonts w:hint="eastAsia" w:ascii="微软雅黑" w:hAnsi="微软雅黑" w:eastAsia="微软雅黑" w:cs="微软雅黑"/>
        </w:rPr>
      </w:pPr>
      <w:r>
        <w:rPr>
          <w:rFonts w:hint="eastAsia" w:ascii="微软雅黑" w:hAnsi="微软雅黑" w:eastAsia="微软雅黑" w:cs="微软雅黑"/>
        </w:rPr>
        <w:t>*部分宣传见证</w:t>
      </w:r>
    </w:p>
    <w:p w14:paraId="68F81EDA">
      <w:pPr>
        <w:bidi w:val="0"/>
        <w:rPr>
          <w:rFonts w:hint="eastAsia" w:ascii="微软雅黑" w:hAnsi="微软雅黑" w:eastAsia="微软雅黑" w:cs="微软雅黑"/>
        </w:rPr>
      </w:pPr>
    </w:p>
    <w:p w14:paraId="78767C69">
      <w:pPr>
        <w:bidi w:val="0"/>
        <w:rPr>
          <w:rFonts w:hint="eastAsia" w:ascii="微软雅黑" w:hAnsi="微软雅黑" w:eastAsia="微软雅黑" w:cs="微软雅黑"/>
        </w:rPr>
      </w:pPr>
      <w:r>
        <w:rPr>
          <w:rFonts w:hint="eastAsia" w:ascii="微软雅黑" w:hAnsi="微软雅黑" w:eastAsia="微软雅黑" w:cs="微软雅黑"/>
        </w:rPr>
        <w:t>物流车广告▼</w:t>
      </w:r>
    </w:p>
    <w:p w14:paraId="057E4580">
      <w:pPr>
        <w:bidi w:val="0"/>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879725" cy="1451610"/>
            <wp:effectExtent l="0" t="0" r="15875" b="15240"/>
            <wp:docPr id="3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descr="IMG_268"/>
                    <pic:cNvPicPr>
                      <a:picLocks noChangeAspect="1"/>
                    </pic:cNvPicPr>
                  </pic:nvPicPr>
                  <pic:blipFill>
                    <a:blip r:embed="rId18"/>
                    <a:stretch>
                      <a:fillRect/>
                    </a:stretch>
                  </pic:blipFill>
                  <pic:spPr>
                    <a:xfrm>
                      <a:off x="0" y="0"/>
                      <a:ext cx="2879725" cy="1451610"/>
                    </a:xfrm>
                    <a:prstGeom prst="rect">
                      <a:avLst/>
                    </a:prstGeom>
                    <a:noFill/>
                    <a:ln w="9525">
                      <a:noFill/>
                    </a:ln>
                  </pic:spPr>
                </pic:pic>
              </a:graphicData>
            </a:graphic>
          </wp:inline>
        </w:drawing>
      </w:r>
      <w:bookmarkStart w:id="0" w:name="_GoBack"/>
      <w:bookmarkEnd w:id="0"/>
    </w:p>
    <w:p w14:paraId="45472FA2">
      <w:pPr>
        <w:bidi w:val="0"/>
        <w:rPr>
          <w:rFonts w:hint="eastAsia" w:ascii="微软雅黑" w:hAnsi="微软雅黑" w:eastAsia="微软雅黑" w:cs="微软雅黑"/>
        </w:rPr>
      </w:pPr>
      <w:r>
        <w:rPr>
          <w:rFonts w:hint="eastAsia" w:ascii="微软雅黑" w:hAnsi="微软雅黑" w:eastAsia="微软雅黑" w:cs="微软雅黑"/>
        </w:rPr>
        <w:t>*部分宣传见证</w:t>
      </w:r>
    </w:p>
    <w:p w14:paraId="6279F360">
      <w:pPr>
        <w:bidi w:val="0"/>
        <w:rPr>
          <w:rFonts w:hint="eastAsia" w:ascii="微软雅黑" w:hAnsi="微软雅黑" w:eastAsia="微软雅黑" w:cs="微软雅黑"/>
        </w:rPr>
      </w:pPr>
    </w:p>
    <w:p w14:paraId="724B3264">
      <w:pPr>
        <w:bidi w:val="0"/>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 精准买家邀约深挖流通批发渠道   </w:t>
      </w:r>
    </w:p>
    <w:p w14:paraId="478AB479">
      <w:p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同时，2025海名餐博会针对参展企业细分专业买家群体，扩大辐射地域、数量、提高质量，持续拓展连锁餐企、经销商/代理商、食品工厂、团餐、商超便利、电商/新零售、团体组织、投资机构等全渠道采购群体。</w:t>
      </w:r>
    </w:p>
    <w:p w14:paraId="4908E9A3">
      <w:p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自2024年10月以来，海名餐博会专业买家邀约团队深入西南西北一线专业市场，目前已走过四川成都、德阳、绵阳、资阳、眉山、雅安、乐山、自贡、宜宾、泸州、内江、遂宁、南充、广安、达州、巴中、广元，重庆，陕西西安、渭南、榆林、宝鸡、汉中、安康、商洛、延安、铜川、咸阳，甘肃兰州、白银，宁夏银川、吴忠、中卫，以及山西太原、临汾、运城等地。针对食材、调味品、预制菜、水产、冻品、烘焙、厨具、餐饮设备、外卖包装用品等一、二批经销商、代理商、大型餐企等进行一对一邀约。</w:t>
      </w:r>
    </w:p>
    <w:p w14:paraId="022FC7CD">
      <w:pPr>
        <w:bidi w:val="0"/>
        <w:rPr>
          <w:rFonts w:hint="eastAsia" w:ascii="微软雅黑" w:hAnsi="微软雅黑" w:eastAsia="微软雅黑" w:cs="微软雅黑"/>
        </w:rPr>
      </w:pPr>
      <w:r>
        <w:rPr>
          <w:rFonts w:hint="eastAsia" w:ascii="微软雅黑" w:hAnsi="微软雅黑" w:eastAsia="微软雅黑" w:cs="微软雅黑"/>
          <w:lang w:val="en-US" w:eastAsia="zh-CN"/>
        </w:rPr>
        <w:br w:type="textWrapping"/>
      </w:r>
      <w:r>
        <w:rPr>
          <w:rFonts w:hint="eastAsia" w:ascii="微软雅黑" w:hAnsi="微软雅黑" w:eastAsia="微软雅黑" w:cs="微软雅黑"/>
          <w:b/>
          <w:bCs/>
          <w:lang w:val="en-US" w:eastAsia="zh-CN"/>
        </w:rPr>
        <w:t>《餐饮供应链优选》月报精准派发  </w:t>
      </w:r>
    </w:p>
    <w:p w14:paraId="6FA1A16F">
      <w:p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海名餐博会专业买家邀约团队，奋战100天，跑遍93个地市州，346个专业市场，将已定展企业新品爆品大单品整理成《餐饮供应链优选》月报进行产品推广。预计总量达10万份，帮助调味品、冻品食材、餐饮设备、外卖包装用品等企业品牌曝光，拓展下沉市场经销商渠道商。</w:t>
      </w:r>
      <w:r>
        <w:rPr>
          <w:rFonts w:hint="eastAsia" w:ascii="微软雅黑" w:hAnsi="微软雅黑" w:eastAsia="微软雅黑" w:cs="微软雅黑"/>
          <w:lang w:val="en-US" w:eastAsia="zh-CN"/>
        </w:rPr>
        <w:br w:type="textWrapping"/>
      </w:r>
      <w:r>
        <w:rPr>
          <w:rFonts w:hint="eastAsia" w:ascii="微软雅黑" w:hAnsi="微软雅黑" w:eastAsia="微软雅黑" w:cs="微软雅黑"/>
          <w:lang w:val="en-US" w:eastAsia="zh-CN"/>
        </w:rPr>
        <w:drawing>
          <wp:inline distT="0" distB="0" distL="114300" distR="114300">
            <wp:extent cx="3599815" cy="2723515"/>
            <wp:effectExtent l="0" t="0" r="635" b="635"/>
            <wp:docPr id="43"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descr="IMG_271"/>
                    <pic:cNvPicPr>
                      <a:picLocks noChangeAspect="1"/>
                    </pic:cNvPicPr>
                  </pic:nvPicPr>
                  <pic:blipFill>
                    <a:blip r:embed="rId19"/>
                    <a:stretch>
                      <a:fillRect/>
                    </a:stretch>
                  </pic:blipFill>
                  <pic:spPr>
                    <a:xfrm>
                      <a:off x="0" y="0"/>
                      <a:ext cx="3599815" cy="2723515"/>
                    </a:xfrm>
                    <a:prstGeom prst="rect">
                      <a:avLst/>
                    </a:prstGeom>
                    <a:noFill/>
                    <a:ln w="9525">
                      <a:noFill/>
                    </a:ln>
                  </pic:spPr>
                </pic:pic>
              </a:graphicData>
            </a:graphic>
          </wp:inline>
        </w:drawing>
      </w:r>
    </w:p>
    <w:p w14:paraId="2C57ECB6">
      <w:pPr>
        <w:bidi w:val="0"/>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3599815" cy="3458210"/>
            <wp:effectExtent l="0" t="0" r="635" b="8890"/>
            <wp:docPr id="49" name="图片 49" descr="173684115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736841151436"/>
                    <pic:cNvPicPr>
                      <a:picLocks noChangeAspect="1"/>
                    </pic:cNvPicPr>
                  </pic:nvPicPr>
                  <pic:blipFill>
                    <a:blip r:embed="rId20"/>
                    <a:srcRect b="6584"/>
                    <a:stretch>
                      <a:fillRect/>
                    </a:stretch>
                  </pic:blipFill>
                  <pic:spPr>
                    <a:xfrm>
                      <a:off x="0" y="0"/>
                      <a:ext cx="3599815" cy="3458210"/>
                    </a:xfrm>
                    <a:prstGeom prst="rect">
                      <a:avLst/>
                    </a:prstGeom>
                  </pic:spPr>
                </pic:pic>
              </a:graphicData>
            </a:graphic>
          </wp:inline>
        </w:drawing>
      </w:r>
    </w:p>
    <w:p w14:paraId="6352CA5C">
      <w:pPr>
        <w:bidi w:val="0"/>
        <w:rPr>
          <w:rFonts w:hint="eastAsia" w:ascii="微软雅黑" w:hAnsi="微软雅黑" w:eastAsia="微软雅黑" w:cs="微软雅黑"/>
        </w:rPr>
      </w:pPr>
      <w:r>
        <w:rPr>
          <w:rFonts w:hint="eastAsia" w:ascii="微软雅黑" w:hAnsi="微软雅黑" w:eastAsia="微软雅黑" w:cs="微软雅黑"/>
        </w:rPr>
        <w:t>▲《餐饮供应链优选》月报一对一派发，以上仅为部分</w:t>
      </w:r>
    </w:p>
    <w:p w14:paraId="5241E49D">
      <w:pPr>
        <w:bidi w:val="0"/>
        <w:rPr>
          <w:rFonts w:hint="eastAsia" w:ascii="微软雅黑" w:hAnsi="微软雅黑" w:eastAsia="微软雅黑" w:cs="微软雅黑"/>
        </w:rPr>
      </w:pPr>
    </w:p>
    <w:p w14:paraId="3CA9E915">
      <w:pPr>
        <w:bidi w:val="0"/>
        <w:rPr>
          <w:rFonts w:hint="eastAsia" w:ascii="微软雅黑" w:hAnsi="微软雅黑" w:eastAsia="微软雅黑" w:cs="微软雅黑"/>
        </w:rPr>
      </w:pPr>
      <w:r>
        <w:rPr>
          <w:rFonts w:hint="eastAsia" w:ascii="微软雅黑" w:hAnsi="微软雅黑" w:eastAsia="微软雅黑" w:cs="微软雅黑"/>
        </w:rPr>
        <w:t>为满足西南西北不同区域、不同业态、不同品类等差异化需求，2025海名餐博会活动升级，以区域IP活动和细分主题相结合的模式，聚焦区域发展机遇与挑战、餐饮产业转型、技术革新、火锅、餐饮供应链、冻品经销商、餐厨设备等细分主题的行业关注点与痛点，邀请全国大咖和嘉宾、行业协会会长、会员代表、平台机构、头部餐企代表、媒体达人、各地餐饮企业掌门人、厨师长等6000名高端群体，交流、分享，以行业标杆的创新力和新模式、新思路，拉动行业创新、增长。</w:t>
      </w:r>
    </w:p>
    <w:p w14:paraId="2F6A0F09">
      <w:pPr>
        <w:bidi w:val="0"/>
        <w:rPr>
          <w:rFonts w:hint="eastAsia" w:ascii="微软雅黑" w:hAnsi="微软雅黑" w:eastAsia="微软雅黑" w:cs="微软雅黑"/>
        </w:rPr>
      </w:pPr>
    </w:p>
    <w:p w14:paraId="5A25AD27">
      <w:pPr>
        <w:bidi w:val="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区域IP活动和细分主题结合</w:t>
      </w:r>
    </w:p>
    <w:p w14:paraId="224CC773">
      <w:pPr>
        <w:bidi w:val="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30场高质量活动引领行业</w:t>
      </w:r>
    </w:p>
    <w:p w14:paraId="2E96F9DB">
      <w:pPr>
        <w:bidi w:val="0"/>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5266690" cy="2574925"/>
            <wp:effectExtent l="0" t="0" r="10160" b="15875"/>
            <wp:docPr id="28"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7" descr="IMG_302"/>
                    <pic:cNvPicPr>
                      <a:picLocks noChangeAspect="1"/>
                    </pic:cNvPicPr>
                  </pic:nvPicPr>
                  <pic:blipFill>
                    <a:blip r:embed="rId21"/>
                    <a:stretch>
                      <a:fillRect/>
                    </a:stretch>
                  </pic:blipFill>
                  <pic:spPr>
                    <a:xfrm>
                      <a:off x="0" y="0"/>
                      <a:ext cx="5266690" cy="2574925"/>
                    </a:xfrm>
                    <a:prstGeom prst="rect">
                      <a:avLst/>
                    </a:prstGeom>
                    <a:noFill/>
                    <a:ln w="9525">
                      <a:noFill/>
                    </a:ln>
                  </pic:spPr>
                </pic:pic>
              </a:graphicData>
            </a:graphic>
          </wp:inline>
        </w:drawing>
      </w:r>
    </w:p>
    <w:p w14:paraId="0D95B0D6">
      <w:pPr>
        <w:bidi w:val="0"/>
        <w:rPr>
          <w:rFonts w:hint="eastAsia" w:ascii="微软雅黑" w:hAnsi="微软雅黑" w:eastAsia="微软雅黑" w:cs="微软雅黑"/>
        </w:rPr>
      </w:pPr>
      <w:r>
        <w:rPr>
          <w:rFonts w:hint="eastAsia" w:ascii="微软雅黑" w:hAnsi="微软雅黑" w:eastAsia="微软雅黑" w:cs="微软雅黑"/>
        </w:rPr>
        <w:t>海名·2025第10届西安餐饮供应链博览会同期举办：</w:t>
      </w:r>
      <w:r>
        <w:rPr>
          <w:rFonts w:hint="eastAsia" w:ascii="微软雅黑" w:hAnsi="微软雅黑" w:eastAsia="微软雅黑" w:cs="微软雅黑"/>
          <w:u w:val="single"/>
        </w:rPr>
        <w:t>第二届中国餐饮·西安峰会、西安面食大会暨南粉北面消费供应链创新论坛、第三届西安火锅创新增长论坛、中国餐饮食材单品爆款大赛(西安站)、中国餐饮营销创新增长论坛(西安站)、冻品经销商创新增长论坛(西安站)、西安预制烘焙行业论坛、|陕菜招牌菜烹饪技能大赛、新品发布会&amp;爆款食材品鉴会(西安站)、兰州牛肉拉面表演赛……</w:t>
      </w:r>
    </w:p>
    <w:p w14:paraId="66BF5079">
      <w:pPr>
        <w:bidi w:val="0"/>
        <w:rPr>
          <w:rFonts w:hint="eastAsia" w:ascii="微软雅黑" w:hAnsi="微软雅黑" w:eastAsia="微软雅黑" w:cs="微软雅黑"/>
        </w:rPr>
      </w:pPr>
      <w:r>
        <w:rPr>
          <w:rFonts w:hint="eastAsia" w:ascii="微软雅黑" w:hAnsi="微软雅黑" w:eastAsia="微软雅黑" w:cs="微软雅黑"/>
        </w:rPr>
        <w:t>海名·2025第13届成都餐饮供应链博览会同期举办：</w:t>
      </w:r>
      <w:r>
        <w:rPr>
          <w:rFonts w:hint="eastAsia" w:ascii="微软雅黑" w:hAnsi="微软雅黑" w:eastAsia="微软雅黑" w:cs="微软雅黑"/>
          <w:u w:val="single"/>
        </w:rPr>
        <w:t>第二届中国餐饮·成都峰会、第二届中国火锅产业生态大会、第三届川味预制菜产业发展论坛、中国餐饮营销创新增长论坛(成都站)、冻品经销商创新增长论坛(成都站)、成都预制烘焙行业论坛、商用厨房未来方向技术产业论坛、餐饮设备新产品新技术论坛、川莱招牌菜烹饪技能大赛、中国餐饮食材单品爆款大赛(成都站)、新品发布会&amp;爆款食材品鉴会(成都站)……</w:t>
      </w:r>
    </w:p>
    <w:p w14:paraId="478CC041">
      <w:pPr>
        <w:bidi w:val="0"/>
        <w:rPr>
          <w:rFonts w:hint="eastAsia" w:ascii="微软雅黑" w:hAnsi="微软雅黑" w:eastAsia="微软雅黑" w:cs="微软雅黑"/>
        </w:rPr>
      </w:pPr>
      <w:r>
        <w:rPr>
          <w:rFonts w:hint="eastAsia" w:ascii="微软雅黑" w:hAnsi="微软雅黑" w:eastAsia="微软雅黑" w:cs="微软雅黑"/>
        </w:rPr>
        <w:t>30场高质量活动，聚焦餐饮行业热点话题，紧跟当前国内消费趋势和国家战略，满足供应链上下游企业高位战略发展、后端供应链建设、创新营销增长、探趋势选路径、创新经营模式、选品换新菜等多元需求。多场景多形式举办行业活动，打造中西部地区餐饮行业重要资讯平台、助力餐饮从业核心人群辨趋势、找路径、突破创新。</w:t>
      </w:r>
    </w:p>
    <w:p w14:paraId="5D818B7E">
      <w:pPr>
        <w:bidi w:val="0"/>
        <w:rPr>
          <w:rFonts w:hint="eastAsia" w:ascii="微软雅黑" w:hAnsi="微软雅黑" w:eastAsia="微软雅黑" w:cs="微软雅黑"/>
        </w:rPr>
      </w:pPr>
      <w:r>
        <w:rPr>
          <w:rFonts w:hint="eastAsia" w:ascii="微软雅黑" w:hAnsi="微软雅黑" w:eastAsia="微软雅黑" w:cs="微软雅黑"/>
        </w:rPr>
        <w:t>目前活动筹备工作正在有条不紊的推进中，2025让我们共同相聚海名餐博会，共襄盛举。</w:t>
      </w:r>
    </w:p>
    <w:p w14:paraId="3716744B">
      <w:pPr>
        <w:bidi w:val="0"/>
        <w:rPr>
          <w:rFonts w:hint="eastAsia" w:ascii="微软雅黑" w:hAnsi="微软雅黑" w:eastAsia="微软雅黑" w:cs="微软雅黑"/>
        </w:rPr>
      </w:pPr>
    </w:p>
    <w:p w14:paraId="6DA1AA9F">
      <w:pPr>
        <w:bidi w:val="0"/>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下沉市场精准对接</w:t>
      </w:r>
    </w:p>
    <w:p w14:paraId="4911A396">
      <w:pPr>
        <w:bidi w:val="0"/>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餐饮优质食材巡回品鉴活动</w:t>
      </w:r>
    </w:p>
    <w:p w14:paraId="6A4DEB8B">
      <w:pPr>
        <w:bidi w:val="0"/>
        <w:rPr>
          <w:rFonts w:hint="eastAsia" w:ascii="微软雅黑" w:hAnsi="微软雅黑" w:eastAsia="微软雅黑" w:cs="微软雅黑"/>
          <w:b/>
          <w:bCs/>
        </w:rPr>
      </w:pPr>
      <w:r>
        <w:rPr>
          <w:rFonts w:hint="eastAsia" w:ascii="微软雅黑" w:hAnsi="微软雅黑" w:eastAsia="微软雅黑" w:cs="微软雅黑"/>
          <w:b/>
          <w:bCs/>
          <w:lang w:val="en-US" w:eastAsia="zh-CN"/>
        </w:rPr>
        <w:t>火爆进行中</w:t>
      </w:r>
    </w:p>
    <w:p w14:paraId="19527C71">
      <w:pPr>
        <w:bidi w:val="0"/>
        <w:rPr>
          <w:rFonts w:hint="eastAsia" w:ascii="微软雅黑" w:hAnsi="微软雅黑" w:eastAsia="微软雅黑" w:cs="微软雅黑"/>
        </w:rPr>
      </w:pPr>
      <w:r>
        <w:rPr>
          <w:rFonts w:hint="eastAsia" w:ascii="微软雅黑" w:hAnsi="微软雅黑" w:eastAsia="微软雅黑" w:cs="微软雅黑"/>
        </w:rPr>
        <w:t>产业活动作为“会展+产业”重要服务板块，帮助餐饮供应链企业品牌曝光、拓展高层人脉资源、实现供需匹配精准对接。为此，海名会展整合全国行业资源，与各地火锅、餐饮、烹饪、江湖菜、面食、住宿、冷链等行业协会联合，精心策划组织各主题活动，下沉市场，推动餐饮市场朝着更精细化、特色化、品质化的方向前行。</w:t>
      </w:r>
    </w:p>
    <w:p w14:paraId="79AF6A90">
      <w:pPr>
        <w:bidi w:val="0"/>
        <w:rPr>
          <w:rFonts w:hint="eastAsia" w:ascii="微软雅黑" w:hAnsi="微软雅黑" w:eastAsia="微软雅黑" w:cs="微软雅黑"/>
        </w:rPr>
      </w:pPr>
      <w:r>
        <w:rPr>
          <w:rFonts w:hint="eastAsia" w:ascii="微软雅黑" w:hAnsi="微软雅黑" w:eastAsia="微软雅黑" w:cs="微软雅黑"/>
        </w:rPr>
        <w:t>往期产业活动系列「巡味中国·四川餐饮优质食材推荐品鉴活动」联合四川省火锅协会共同举办，已成功走过南充、都江堰、绵阳、雅安、内江、泸州、成都等地，帮助国澳肉业、川海晨阳、国联水产、森泰牛油、纤夫、恒都、仟味、锦匠、骏马锅具等供应链企业下沉市场，展示火锅食材、调味品、餐饮设备、桌面用品等百余款优质食材和创新产品，与品牌餐企老板、创始人、厨师长、采购负责人等高层领导近距离、深层次交流，双方快速建立起信任关系，达成众多合作意向，活动反响热烈。</w:t>
      </w:r>
    </w:p>
    <w:p w14:paraId="373860E5">
      <w:pPr>
        <w:bidi w:val="0"/>
        <w:rPr>
          <w:rFonts w:hint="eastAsia" w:ascii="微软雅黑" w:hAnsi="微软雅黑" w:eastAsia="微软雅黑" w:cs="微软雅黑"/>
        </w:rPr>
      </w:pPr>
      <w:r>
        <w:rPr>
          <w:rFonts w:hint="eastAsia" w:ascii="微软雅黑" w:hAnsi="微软雅黑" w:eastAsia="微软雅黑" w:cs="微软雅黑"/>
        </w:rPr>
        <w:t>目前「品味中国城市行·餐饮优质食材巡回品鉴活动」正在火热进行中，活动将与青海、新疆、成都、德阳、绵阳、内江、雅安、眉山、安康等各省市行业协会年会同期举办，想要低成本、高效率、下沉区域市场、推广新品爆品、对接精准高层资源，欢迎加入品味中国城市行·餐饮优质食材巡回品鉴活动，活动咨询电话：15038387361。</w:t>
      </w:r>
    </w:p>
    <w:p w14:paraId="62EB9AE0">
      <w:pPr>
        <w:bidi w:val="0"/>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879725" cy="5120640"/>
            <wp:effectExtent l="0" t="0" r="15875" b="3810"/>
            <wp:docPr id="25" name="图片 48" descr="IMG_30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8" descr="IMG_303"/>
                    <pic:cNvPicPr>
                      <a:picLocks noChangeAspect="1"/>
                    </pic:cNvPicPr>
                  </pic:nvPicPr>
                  <pic:blipFill>
                    <a:blip r:embed="rId23"/>
                    <a:stretch>
                      <a:fillRect/>
                    </a:stretch>
                  </pic:blipFill>
                  <pic:spPr>
                    <a:xfrm>
                      <a:off x="0" y="0"/>
                      <a:ext cx="2879725" cy="5120640"/>
                    </a:xfrm>
                    <a:prstGeom prst="rect">
                      <a:avLst/>
                    </a:prstGeom>
                    <a:noFill/>
                    <a:ln w="9525">
                      <a:noFill/>
                    </a:ln>
                  </pic:spPr>
                </pic:pic>
              </a:graphicData>
            </a:graphic>
          </wp:inline>
        </w:drawing>
      </w:r>
    </w:p>
    <w:p w14:paraId="401434CA">
      <w:pPr>
        <w:bidi w:val="0"/>
        <w:rPr>
          <w:rFonts w:hint="eastAsia" w:ascii="微软雅黑" w:hAnsi="微软雅黑" w:eastAsia="微软雅黑" w:cs="微软雅黑"/>
        </w:rPr>
      </w:pPr>
      <w:r>
        <w:rPr>
          <w:rFonts w:hint="eastAsia" w:ascii="微软雅黑" w:hAnsi="微软雅黑" w:eastAsia="微软雅黑" w:cs="微软雅黑"/>
        </w:rPr>
        <w:t>新年伊始，新希望，新生机！2025海名餐博会，中国餐饮供应链系列旗舰大展，“会展＋产业”综合服务平台，将持续深度赋能行业发展。在此，我们欢迎更多优秀餐饮同仁加入，让我们共同期待这场餐饮盛会的精彩绽放，携手迈进餐饮黄金十年。</w:t>
      </w:r>
    </w:p>
    <w:p w14:paraId="6D3851FD">
      <w:pPr>
        <w:rPr>
          <w:rFonts w:hint="eastAsia" w:ascii="微软雅黑" w:hAnsi="微软雅黑" w:eastAsia="微软雅黑" w:cs="微软雅黑"/>
          <w:sz w:val="21"/>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PingFangTC-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imSun-ExtB">
    <w:panose1 w:val="02010609060101010101"/>
    <w:charset w:val="86"/>
    <w:family w:val="auto"/>
    <w:pitch w:val="default"/>
    <w:sig w:usb0="00000001" w:usb1="02000000" w:usb2="00000000" w:usb3="00000000" w:csb0="00040001" w:csb1="00000000"/>
  </w:font>
  <w:font w:name="MS PMincho">
    <w:panose1 w:val="02020600040205080304"/>
    <w:charset w:val="80"/>
    <w:family w:val="auto"/>
    <w:pitch w:val="default"/>
    <w:sig w:usb0="E00002FF" w:usb1="6AC7FDFB" w:usb2="00000012" w:usb3="00000000" w:csb0="4002009F" w:csb1="DFD70000"/>
  </w:font>
  <w:font w:name="Angsana New">
    <w:panose1 w:val="02020603050405020304"/>
    <w:charset w:val="00"/>
    <w:family w:val="auto"/>
    <w:pitch w:val="default"/>
    <w:sig w:usb0="81000003" w:usb1="00000000" w:usb2="00000000" w:usb3="00000000" w:csb0="00010001" w:csb1="00000000"/>
  </w:font>
  <w:font w:name="AngsanaUPC">
    <w:panose1 w:val="02020603050405020304"/>
    <w:charset w:val="00"/>
    <w:family w:val="auto"/>
    <w:pitch w:val="default"/>
    <w:sig w:usb0="81000003" w:usb1="00000000" w:usb2="00000000" w:usb3="00000000" w:csb0="00010001" w:csb1="00000000"/>
  </w:font>
  <w:font w:name="Malgun Gothic">
    <w:panose1 w:val="020B0503020000020004"/>
    <w:charset w:val="81"/>
    <w:family w:val="auto"/>
    <w:pitch w:val="default"/>
    <w:sig w:usb0="900002AF" w:usb1="01D77CFB" w:usb2="00000012" w:usb3="00000000" w:csb0="0008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632310"/>
    <w:rsid w:val="4A6323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webp"/><Relationship Id="rId8" Type="http://schemas.openxmlformats.org/officeDocument/2006/relationships/image" Target="media/image5.webp"/><Relationship Id="rId7" Type="http://schemas.openxmlformats.org/officeDocument/2006/relationships/image" Target="media/image4.webp"/><Relationship Id="rId6" Type="http://schemas.openxmlformats.org/officeDocument/2006/relationships/image" Target="media/image3.webp"/><Relationship Id="rId5" Type="http://schemas.openxmlformats.org/officeDocument/2006/relationships/image" Target="media/image2.webp"/><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18.webp"/><Relationship Id="rId22" Type="http://schemas.openxmlformats.org/officeDocument/2006/relationships/hyperlink" Target="https://mp.weixin.qq.com/s?__biz=MzkwNzQ0Mjg0MQ==%26mid=2247510938%26idx=1%26sn=509888ec8bfaa8cdbddb870c660fa4d4%26scene=21#wechat_redirect" TargetMode="External"/><Relationship Id="rId21" Type="http://schemas.openxmlformats.org/officeDocument/2006/relationships/image" Target="media/image17.webp"/><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webp"/><Relationship Id="rId18" Type="http://schemas.openxmlformats.org/officeDocument/2006/relationships/image" Target="media/image14.webp"/><Relationship Id="rId17" Type="http://schemas.openxmlformats.org/officeDocument/2006/relationships/image" Target="media/image13.webp"/><Relationship Id="rId16" Type="http://schemas.openxmlformats.org/officeDocument/2006/relationships/image" Target="media/image12.webp"/><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webp"/><Relationship Id="rId12" Type="http://schemas.openxmlformats.org/officeDocument/2006/relationships/hyperlink" Target="https://mp.weixin.qq.com/s?__biz=MzkwNzQ0Mjg0MQ==%26mid=2247512650%26idx=1%26sn=264f1c47bc78c5465373c8435fc7512b%26key=daf9bdc5abc4e8d0a007be16b9c0fc1cf1e4ec87f03434d0f6c86c1367cd3a842d7688d145b3df8e501ef4299c16c6ea43a9940f10499e59214a9ef8583e940e9d24b2dc0f07d4d04d8a17a27100155d56b20deb2899261f1a6b13f6a9e40f897caaf0d51e0e6260d194f1458de308ec8d653951f0daf29c137b22b5e884c54f%26ascene=0%26uin=MjUxNzE3NzcxMw==%26devicetype=Windows+7+x64%26version=63090c1f%26lang=zh_CN%26countrycode=PF%26exportkey=n_ChQIAhIQ8ppi/6Mw40yMvRF1964+HRLlAQIE97dBBAEAAAAAAPlKDsj6KuQAAAAOpnltbLcz9gKNyK89dVj0rEnJjyEGeFhCp+WYwdHJjXY8UGF+Anu6qnoM7gcEPFxhfqQ7P+O/t0U86aVal8DLT02V9Xu2DvfBJjcXpF66psL6ucP6Ma6QHbvOzvkBqzNVZX2E9n3Zbvs6C33DYsUJNHQmlxaEuo1p7yd+KO8OC5Y8kA161MyKf/hVesYXZk5AknZt6hGrInwtqsPu86ERKWmCHlfjzyAMQXrw30VDlRX8sa8T9VudchH7VOg/kuR5XRtNGVz1v6+6IpLr/XQ=%26acctmode=0%26pass_ticket=525GgNA7DCRK0R0BlaI3V+ZPlVg2ghBmEwM8WorlcxHK+ry2tKuQtqT9uFmnEbpA%26wx_header=1%26fasttmpl_type=0%26fasttmpl_fullversion=7557787-zh_CN-zip%26fasttmpl_flag=3" TargetMode="External"/><Relationship Id="rId11" Type="http://schemas.openxmlformats.org/officeDocument/2006/relationships/image" Target="media/image8.webp"/><Relationship Id="rId10" Type="http://schemas.openxmlformats.org/officeDocument/2006/relationships/image" Target="media/image7.webp"/><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0</Words>
  <Characters>0</Characters>
  <Lines>0</Lines>
  <Paragraphs>0</Paragraphs>
  <TotalTime>24</TotalTime>
  <ScaleCrop>false</ScaleCrop>
  <LinksUpToDate>false</LinksUpToDate>
  <CharactersWithSpaces>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2025-01-14T07:35:00Z</dcterms:created>
  <dc:creator>Administrator</dc:creator>
  <cp:lastModifiedBy>Administrator</cp:lastModifiedBy>
  <dcterms:modified xsi:type="dcterms:W3CDTF">2025-01-14T08:00:42Z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3EB5886F72104E4197D93FD834CDCBF4_11</vt:lpwstr>
  </property>
  <property fmtid="{D5CDD505-2E9C-101B-9397-08002B2CF9AE}" pid="4" name="KSOTemplateDocerSaveRecord">
    <vt:lpwstr>eyJoZGlkIjoiYzY4MDNkODc5ZjRhZmY5Y2E1MmUyODUzNWZhMTcwOTgifQ==</vt:lpwstr>
  </property>
</Properties>
</file>