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pPr>
      <w:r>
        <w:t>AUTO TECH China 2025 广州国际汽车内外饰技术展览会，邀您共赴行业盛宴！</w:t>
      </w:r>
    </w:p>
    <w:p/>
    <w:p>
      <w:pPr>
        <w:pStyle w:val="17"/>
        <w:rPr>
          <w:rFonts w:hint="eastAsia" w:eastAsia="等线"/>
          <w:lang w:eastAsia="zh-CN"/>
        </w:rPr>
      </w:pPr>
      <w:r>
        <w:rPr>
          <w:rFonts w:hint="eastAsia" w:eastAsia="等线"/>
          <w:lang w:eastAsia="zh-CN"/>
        </w:rPr>
        <w:drawing>
          <wp:inline distT="0" distB="0" distL="114300" distR="114300">
            <wp:extent cx="5724525" cy="3818255"/>
            <wp:effectExtent l="0" t="0" r="9525" b="10795"/>
            <wp:docPr id="4" name="图片 4" descr="(新)汽车内外饰技术展-封面"/>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新)汽车内外饰技术展-封面"/>
                    <pic:cNvPicPr>
                      <a:picLocks noChangeAspect="1"/>
                    </pic:cNvPicPr>
                  </pic:nvPicPr>
                  <pic:blipFill>
                    <a:blip r:embed="rId4"/>
                    <a:stretch>
                      <a:fillRect/>
                    </a:stretch>
                  </pic:blipFill>
                  <pic:spPr>
                    <a:xfrm>
                      <a:off x="0" y="0"/>
                      <a:ext cx="5724525" cy="3818255"/>
                    </a:xfrm>
                    <a:prstGeom prst="rect">
                      <a:avLst/>
                    </a:prstGeom>
                  </pic:spPr>
                </pic:pic>
              </a:graphicData>
            </a:graphic>
          </wp:inline>
        </w:drawing>
      </w:r>
    </w:p>
    <w:p>
      <w:pPr>
        <w:pStyle w:val="17"/>
      </w:pPr>
    </w:p>
    <w:p>
      <w:pPr>
        <w:pStyle w:val="17"/>
      </w:pPr>
      <w:r>
        <w:t>在汽车产业持续变革与创新的当下，汽车内外饰技术作为影响汽车品质与用户体验的关键环节，正不断焕发出新的活力。</w:t>
      </w:r>
      <w:r>
        <w:rPr>
          <w:b/>
          <w:bCs/>
        </w:rPr>
        <w:t>2025年11月20日至22日，AUTO TECH China 2025 广州国际汽车内外饰技术展览会将在广州保利世贸博览馆</w:t>
      </w:r>
      <w:r>
        <w:t>盛大举办，这无疑是汽车内外饰领域一场不容错过的行业盛会，将为您带来全方位、深层次的行业新体验。</w:t>
      </w:r>
    </w:p>
    <w:p>
      <w:pPr>
        <w:pStyle w:val="17"/>
        <w:rPr>
          <w:rFonts w:hint="eastAsia" w:eastAsia="等线"/>
          <w:lang w:eastAsia="zh-CN"/>
        </w:rPr>
      </w:pPr>
      <w:r>
        <w:rPr>
          <w:rFonts w:hint="eastAsia" w:eastAsia="等线"/>
          <w:lang w:eastAsia="zh-CN"/>
        </w:rPr>
        <w:drawing>
          <wp:inline distT="0" distB="0" distL="114300" distR="114300">
            <wp:extent cx="5727700" cy="2110105"/>
            <wp:effectExtent l="0" t="0" r="6350" b="4445"/>
            <wp:docPr id="2" name="图片 2" descr="汽车内外饰技术展-封面（950x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汽车内外饰技术展-封面（950x350）"/>
                    <pic:cNvPicPr>
                      <a:picLocks noChangeAspect="1"/>
                    </pic:cNvPicPr>
                  </pic:nvPicPr>
                  <pic:blipFill>
                    <a:blip r:embed="rId5"/>
                    <a:stretch>
                      <a:fillRect/>
                    </a:stretch>
                  </pic:blipFill>
                  <pic:spPr>
                    <a:xfrm>
                      <a:off x="0" y="0"/>
                      <a:ext cx="5727700" cy="2110105"/>
                    </a:xfrm>
                    <a:prstGeom prst="rect">
                      <a:avLst/>
                    </a:prstGeom>
                  </pic:spPr>
                </pic:pic>
              </a:graphicData>
            </a:graphic>
          </wp:inline>
        </w:drawing>
      </w:r>
    </w:p>
    <w:p>
      <w:pPr>
        <w:pStyle w:val="17"/>
      </w:pPr>
    </w:p>
    <w:p>
      <w:pPr>
        <w:pStyle w:val="3"/>
      </w:pPr>
      <w:r>
        <w:t>一、超大规模，汇聚全球行业精英</w:t>
      </w:r>
    </w:p>
    <w:p>
      <w:pPr>
        <w:pStyle w:val="17"/>
      </w:pPr>
      <w:r>
        <w:t>本次展览会规模宏大，展览面积</w:t>
      </w:r>
      <w:r>
        <w:rPr>
          <w:rFonts w:hint="eastAsia"/>
          <w:lang w:val="en-US" w:eastAsia="zh-CN"/>
        </w:rPr>
        <w:t>预计</w:t>
      </w:r>
      <w:r>
        <w:t xml:space="preserve">达 </w:t>
      </w:r>
      <w:r>
        <w:rPr>
          <w:rFonts w:hint="eastAsia"/>
          <w:lang w:val="en-US" w:eastAsia="zh-CN"/>
        </w:rPr>
        <w:t>3</w:t>
      </w:r>
      <w:r>
        <w:t xml:space="preserve">0000 平方米，预计将吸引超过 </w:t>
      </w:r>
      <w:r>
        <w:rPr>
          <w:rFonts w:hint="eastAsia"/>
          <w:lang w:val="en-US" w:eastAsia="zh-CN"/>
        </w:rPr>
        <w:t>5</w:t>
      </w:r>
      <w:r>
        <w:t>00 家来自全球的参展商。从知名的汽车内外饰材料供应商，到创新的零部件制造商，再到引领潮流的设计公司，产业链上下游的企业将齐聚于此。在这里，您可以一站式领略全球</w:t>
      </w:r>
      <w:r>
        <w:rPr>
          <w:b/>
          <w:bCs/>
        </w:rPr>
        <w:t>汽车内外饰领域最全面、最前沿的产品与技术</w:t>
      </w:r>
      <w:r>
        <w:t>。同时，超 20000 名专业观众也将汇聚一堂，其中不乏汽车制造商、零部件供应商的采购及技术工程师等，为行业人士搭建起绝佳的交流与合作平台，助力企业拓展业务渠道，把握市场机遇。</w:t>
      </w:r>
    </w:p>
    <w:p>
      <w:pPr>
        <w:pStyle w:val="17"/>
      </w:pPr>
    </w:p>
    <w:p>
      <w:pPr>
        <w:pStyle w:val="17"/>
        <w:rPr>
          <w:rFonts w:hint="eastAsia" w:eastAsia="等线"/>
          <w:lang w:eastAsia="zh-CN"/>
        </w:rPr>
      </w:pPr>
      <w:r>
        <w:rPr>
          <w:rFonts w:hint="eastAsia" w:eastAsia="等线"/>
          <w:lang w:eastAsia="zh-CN"/>
        </w:rPr>
        <w:drawing>
          <wp:inline distT="0" distB="0" distL="114300" distR="114300">
            <wp:extent cx="5726430" cy="3221355"/>
            <wp:effectExtent l="0" t="0" r="7620" b="17145"/>
            <wp:docPr id="5" name="图片 5" descr="19e9ee57ea004086e21de92213ec5e78134ddfbbecf85-RSm1SJ_fw1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19e9ee57ea004086e21de92213ec5e78134ddfbbecf85-RSm1SJ_fw1200"/>
                    <pic:cNvPicPr>
                      <a:picLocks noChangeAspect="1"/>
                    </pic:cNvPicPr>
                  </pic:nvPicPr>
                  <pic:blipFill>
                    <a:blip r:embed="rId6"/>
                    <a:stretch>
                      <a:fillRect/>
                    </a:stretch>
                  </pic:blipFill>
                  <pic:spPr>
                    <a:xfrm>
                      <a:off x="0" y="0"/>
                      <a:ext cx="5726430" cy="3221355"/>
                    </a:xfrm>
                    <a:prstGeom prst="rect">
                      <a:avLst/>
                    </a:prstGeom>
                  </pic:spPr>
                </pic:pic>
              </a:graphicData>
            </a:graphic>
          </wp:inline>
        </w:drawing>
      </w:r>
    </w:p>
    <w:p>
      <w:pPr>
        <w:pStyle w:val="17"/>
      </w:pPr>
    </w:p>
    <w:p>
      <w:pPr>
        <w:pStyle w:val="3"/>
        <w:numPr>
          <w:ilvl w:val="0"/>
          <w:numId w:val="1"/>
        </w:numPr>
      </w:pPr>
      <w:r>
        <w:t>特色展</w:t>
      </w:r>
      <w:r>
        <w:rPr>
          <w:rFonts w:hint="eastAsia"/>
          <w:lang w:val="en-US" w:eastAsia="zh-CN"/>
        </w:rPr>
        <w:t>区</w:t>
      </w:r>
      <w:r>
        <w:t>，全方位展示行业风貌</w:t>
      </w:r>
    </w:p>
    <w:p>
      <w:pPr>
        <w:pStyle w:val="17"/>
      </w:pPr>
      <w:r>
        <w:t>展会精心设置多个特色展区。在内饰设计与材料展区，你能看到新型环保材料，如可回收织物、生物基材料等如何提升内饰质感，还有智能化内饰设计，像集成触摸控制、语音交互功能的中控大屏，以及具备多种舒适功能的座椅。</w:t>
      </w:r>
    </w:p>
    <w:p>
      <w:pPr>
        <w:pStyle w:val="17"/>
      </w:pPr>
      <w:r>
        <w:t>外饰创新与工艺展区则聚焦</w:t>
      </w:r>
      <w:bookmarkStart w:id="0" w:name="_GoBack"/>
      <w:bookmarkEnd w:id="0"/>
      <w:r>
        <w:t>汽车外观计，展示如何将空气动力学与美学完美结合，还有个性化定制的外饰产品。智能座舱技术展区展现汽车从传统驾驶空间向智能移动空间的转变，各种设备互联互通的场景令人大开眼界。轻量化解决方案展区则展示能有效降低汽车能耗的轻量化材料与工艺。</w:t>
      </w:r>
    </w:p>
    <w:p>
      <w:pPr>
        <w:numPr>
          <w:numId w:val="0"/>
        </w:numPr>
      </w:pPr>
    </w:p>
    <w:p>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0" w:afterAutospacing="0"/>
        <w:ind w:left="0" w:right="0" w:firstLine="0"/>
        <w:jc w:val="both"/>
        <w:rPr>
          <w:rFonts w:ascii="Arial" w:hAnsi="Arial" w:eastAsia="等线" w:cs="Arial"/>
          <w:kern w:val="0"/>
          <w:sz w:val="22"/>
          <w:szCs w:val="22"/>
          <w:lang/>
        </w:rPr>
      </w:pPr>
      <w:r>
        <w:rPr>
          <w:rFonts w:hint="eastAsia" w:ascii="Arial" w:hAnsi="Arial" w:eastAsia="等线" w:cs="Arial"/>
          <w:b/>
          <w:bCs/>
          <w:kern w:val="0"/>
          <w:sz w:val="22"/>
          <w:szCs w:val="22"/>
          <w:lang w:val="en-US" w:eastAsia="zh-CN"/>
        </w:rPr>
        <w:t>1、</w:t>
      </w:r>
      <w:r>
        <w:rPr>
          <w:rFonts w:hint="default" w:ascii="Arial" w:hAnsi="Arial" w:eastAsia="等线" w:cs="Arial"/>
          <w:b/>
          <w:bCs/>
          <w:kern w:val="0"/>
          <w:sz w:val="22"/>
          <w:szCs w:val="22"/>
          <w:lang/>
        </w:rPr>
        <w:t>内饰产品：</w:t>
      </w:r>
      <w:r>
        <w:rPr>
          <w:rFonts w:hint="default" w:ascii="Arial" w:hAnsi="Arial" w:eastAsia="等线" w:cs="Arial"/>
          <w:kern w:val="0"/>
          <w:sz w:val="22"/>
          <w:szCs w:val="22"/>
          <w:lang/>
        </w:rPr>
        <w:t>仪表板、副仪表板、座椅、车门内护板、顶棚、内部覆盖件（车门内饰、车顶内饰、柱内饰、侧围及前后围内饰等）、转向盘、地胶、地垫、行李箱、遮阳板、储物盒、排挡、中控、安全信息显示系统、车内照明系统、车内声学系统、内饰改装、车用密封技术产品、内饰配套用品，汽车坐垫、安全座椅、座套、手把套、扶手箱、头枕、安全带、防盗锁、表面覆饰物等；</w:t>
      </w:r>
    </w:p>
    <w:p>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0" w:afterAutospacing="0"/>
        <w:ind w:left="0" w:right="0" w:firstLine="0"/>
        <w:jc w:val="both"/>
        <w:rPr>
          <w:rFonts w:hint="default" w:ascii="Arial" w:hAnsi="Arial" w:eastAsia="等线" w:cs="Arial"/>
          <w:kern w:val="0"/>
          <w:sz w:val="22"/>
          <w:szCs w:val="22"/>
          <w:lang/>
        </w:rPr>
      </w:pPr>
      <w:r>
        <w:rPr>
          <w:rFonts w:hint="eastAsia" w:ascii="Arial" w:hAnsi="Arial" w:eastAsia="等线" w:cs="Arial"/>
          <w:b/>
          <w:bCs/>
          <w:kern w:val="0"/>
          <w:sz w:val="22"/>
          <w:szCs w:val="22"/>
          <w:lang w:val="en-US" w:eastAsia="zh-CN"/>
        </w:rPr>
        <w:t>2、</w:t>
      </w:r>
      <w:r>
        <w:rPr>
          <w:rFonts w:hint="default" w:ascii="Arial" w:hAnsi="Arial" w:eastAsia="等线" w:cs="Arial"/>
          <w:b/>
          <w:bCs/>
          <w:kern w:val="0"/>
          <w:sz w:val="22"/>
          <w:szCs w:val="22"/>
          <w:lang/>
        </w:rPr>
        <w:t>外饰产品（各类汽车外饰总成及配套产品）：</w:t>
      </w:r>
      <w:r>
        <w:rPr>
          <w:rFonts w:hint="default" w:ascii="Arial" w:hAnsi="Arial" w:eastAsia="等线" w:cs="Arial"/>
          <w:kern w:val="0"/>
          <w:sz w:val="22"/>
          <w:szCs w:val="22"/>
          <w:lang/>
        </w:rPr>
        <w:t>保险杠、车灯、汽车玻璃、轮毂、顶盖、翼子板、外侧板、面罩装饰板、引擎盖、后视镜、雨刮、胶条饰条、车身装饰等；</w:t>
      </w:r>
    </w:p>
    <w:p>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0" w:afterAutospacing="0"/>
        <w:ind w:left="0" w:right="0" w:firstLine="0"/>
        <w:jc w:val="both"/>
        <w:rPr>
          <w:rFonts w:hint="default" w:ascii="Arial" w:hAnsi="Arial" w:eastAsia="等线" w:cs="Arial"/>
          <w:kern w:val="0"/>
          <w:sz w:val="22"/>
          <w:szCs w:val="22"/>
          <w:lang/>
        </w:rPr>
      </w:pPr>
      <w:r>
        <w:rPr>
          <w:rFonts w:hint="eastAsia" w:ascii="Arial" w:hAnsi="Arial" w:eastAsia="等线" w:cs="Arial"/>
          <w:b/>
          <w:bCs/>
          <w:kern w:val="0"/>
          <w:sz w:val="22"/>
          <w:szCs w:val="22"/>
          <w:lang w:val="en-US" w:eastAsia="zh-CN"/>
        </w:rPr>
        <w:t>3、</w:t>
      </w:r>
      <w:r>
        <w:rPr>
          <w:rFonts w:hint="default" w:ascii="Arial" w:hAnsi="Arial" w:eastAsia="等线" w:cs="Arial"/>
          <w:b/>
          <w:bCs/>
          <w:kern w:val="0"/>
          <w:sz w:val="22"/>
          <w:szCs w:val="22"/>
          <w:lang/>
        </w:rPr>
        <w:t>内外饰模具：</w:t>
      </w:r>
      <w:r>
        <w:rPr>
          <w:rFonts w:hint="default" w:ascii="Arial" w:hAnsi="Arial" w:eastAsia="等线" w:cs="Arial"/>
          <w:kern w:val="0"/>
          <w:sz w:val="22"/>
          <w:szCs w:val="22"/>
          <w:lang/>
        </w:rPr>
        <w:t>汽车车灯模具、汽车保险杠模具、汽车仪表台模具、汽车中网格栅模具、汽车空调模具、汽车车门内饰板模具、汽车遮阳板模具、汽车门拉手模具等；</w:t>
      </w:r>
    </w:p>
    <w:p>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0" w:afterAutospacing="0"/>
        <w:ind w:left="0" w:right="0" w:firstLine="0"/>
        <w:jc w:val="both"/>
        <w:rPr>
          <w:rFonts w:hint="default" w:ascii="Arial" w:hAnsi="Arial" w:eastAsia="等线" w:cs="Arial"/>
          <w:kern w:val="0"/>
          <w:sz w:val="22"/>
          <w:szCs w:val="22"/>
          <w:lang/>
        </w:rPr>
      </w:pPr>
      <w:r>
        <w:rPr>
          <w:rFonts w:hint="eastAsia" w:ascii="Arial" w:hAnsi="Arial" w:eastAsia="等线" w:cs="Arial"/>
          <w:b/>
          <w:bCs/>
          <w:kern w:val="0"/>
          <w:sz w:val="22"/>
          <w:szCs w:val="22"/>
          <w:lang w:val="en-US" w:eastAsia="zh-CN"/>
        </w:rPr>
        <w:t>4、</w:t>
      </w:r>
      <w:r>
        <w:rPr>
          <w:rFonts w:hint="default" w:ascii="Arial" w:hAnsi="Arial" w:eastAsia="等线" w:cs="Arial"/>
          <w:b/>
          <w:bCs/>
          <w:kern w:val="0"/>
          <w:sz w:val="22"/>
          <w:szCs w:val="22"/>
          <w:lang/>
        </w:rPr>
        <w:t>应用材料：</w:t>
      </w:r>
      <w:r>
        <w:rPr>
          <w:rFonts w:hint="default" w:ascii="Arial" w:hAnsi="Arial" w:eastAsia="等线" w:cs="Arial"/>
          <w:kern w:val="0"/>
          <w:sz w:val="22"/>
          <w:szCs w:val="22"/>
          <w:lang/>
        </w:rPr>
        <w:t>座椅面料、顶棚材料及各类车用皮革、超纤革、纺织品、无纺布、亚麻制品、植绒布、非织造材料；隔音/隔热/减震材料；胶粘剂、胶带、衬垫、车用密封技术产品、紧固方案；橡塑材料与制品、工程塑料、改性塑料；聚氨酯材料、发泡材料、复合材料、高分子材料、ABS板材、吸塑产品等各类汽车内外饰生产加工所应用材料；</w:t>
      </w:r>
    </w:p>
    <w:p>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0" w:afterAutospacing="0"/>
        <w:ind w:left="0" w:right="0" w:firstLine="0"/>
        <w:jc w:val="both"/>
        <w:rPr>
          <w:rFonts w:hint="default" w:ascii="Arial" w:hAnsi="Arial" w:eastAsia="等线" w:cs="Arial"/>
          <w:kern w:val="0"/>
          <w:sz w:val="22"/>
          <w:szCs w:val="22"/>
          <w:lang/>
        </w:rPr>
      </w:pPr>
      <w:r>
        <w:rPr>
          <w:rFonts w:hint="eastAsia" w:ascii="Arial" w:hAnsi="Arial" w:eastAsia="等线" w:cs="Arial"/>
          <w:b/>
          <w:bCs/>
          <w:kern w:val="0"/>
          <w:sz w:val="22"/>
          <w:szCs w:val="22"/>
          <w:lang w:val="en-US" w:eastAsia="zh-CN"/>
        </w:rPr>
        <w:t>5、</w:t>
      </w:r>
      <w:r>
        <w:rPr>
          <w:rFonts w:hint="default" w:ascii="Arial" w:hAnsi="Arial" w:eastAsia="等线" w:cs="Arial"/>
          <w:b/>
          <w:bCs/>
          <w:kern w:val="0"/>
          <w:sz w:val="22"/>
          <w:szCs w:val="22"/>
          <w:lang/>
        </w:rPr>
        <w:t>内外饰原料及化工产品：</w:t>
      </w:r>
      <w:r>
        <w:rPr>
          <w:rFonts w:hint="default" w:ascii="Arial" w:hAnsi="Arial" w:eastAsia="等线" w:cs="Arial"/>
          <w:kern w:val="0"/>
          <w:sz w:val="22"/>
          <w:szCs w:val="22"/>
          <w:lang/>
        </w:rPr>
        <w:t>塑料、聚氨酯、弹性体、胶黏剂、热熔胶、脱模剂、油墨、涂料、树脂、色母、粒子、助剂、各类内饰用化工产品、原料、加工技术设备等；</w:t>
      </w:r>
    </w:p>
    <w:p>
      <w:pPr>
        <w:pStyle w:val="9"/>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0" w:afterAutospacing="0"/>
        <w:ind w:left="0" w:right="0" w:firstLine="0"/>
        <w:jc w:val="both"/>
        <w:rPr>
          <w:rFonts w:hint="default" w:ascii="Arial" w:hAnsi="Arial" w:eastAsia="等线" w:cs="Arial"/>
          <w:kern w:val="0"/>
          <w:sz w:val="22"/>
          <w:szCs w:val="22"/>
          <w:lang/>
        </w:rPr>
      </w:pPr>
      <w:r>
        <w:rPr>
          <w:rFonts w:hint="eastAsia" w:ascii="Arial" w:hAnsi="Arial" w:eastAsia="等线" w:cs="Arial"/>
          <w:b/>
          <w:bCs/>
          <w:kern w:val="0"/>
          <w:sz w:val="22"/>
          <w:szCs w:val="22"/>
          <w:lang w:val="en-US" w:eastAsia="zh-CN"/>
        </w:rPr>
        <w:t>6、</w:t>
      </w:r>
      <w:r>
        <w:rPr>
          <w:rFonts w:hint="default" w:ascii="Arial" w:hAnsi="Arial" w:eastAsia="等线" w:cs="Arial"/>
          <w:b/>
          <w:bCs/>
          <w:kern w:val="0"/>
          <w:sz w:val="22"/>
          <w:szCs w:val="22"/>
          <w:lang/>
        </w:rPr>
        <w:t>内外饰加工技术及设备：</w:t>
      </w:r>
      <w:r>
        <w:rPr>
          <w:rFonts w:hint="default" w:ascii="Arial" w:hAnsi="Arial" w:eastAsia="等线" w:cs="Arial"/>
          <w:kern w:val="0"/>
          <w:sz w:val="22"/>
          <w:szCs w:val="22"/>
          <w:lang/>
        </w:rPr>
        <w:t>汽车行业机器人及自动化设备、内饰软材切割及裁切设备、缝纫设备、内饰件模具及制造技术；车用聚氨酯技术设备、门板焊接技术设备、汽车塑料机械/新工艺及技术、厚片吸塑设备、超声波设备、装配性工具包括分析、测试、处理技术；皮纹加工技术；定位及紧固系统；冲压或模切技术加工；相关注塑、搪塑、吸覆、挤出、模压、热压、蒙皮、喷涂、电镀、焊接等。</w:t>
      </w:r>
    </w:p>
    <w:p>
      <w:pPr>
        <w:pStyle w:val="3"/>
      </w:pPr>
      <w:r>
        <w:t>三、同期论坛，深度探讨行业趋势</w:t>
      </w:r>
    </w:p>
    <w:p>
      <w:pPr>
        <w:pStyle w:val="17"/>
      </w:pPr>
      <w:r>
        <w:t>展会期间，多场高规格的行业论坛和技术研讨会将同步举行。行业专家、企业代表将围绕智能化、可持续发展、个性化定制等当下热点话题展开深入探讨。在智能化主题下，研究如何借助人工智能进一步提升车内设备的智能化水平，为用户打造更贴心的服务；可持续发展方面，交流在原材料选择、生产过程中如何贯彻环保理念，推动循环经济在汽车内外饰行业的应用；个性化定制领域，探讨怎样利用数字化技术和智能制造实现大规模个性化生产，满足消费者日益多样化的需求。这些论坛将为行业发展提供宝贵思路，助力企业精准把握未来方向。</w:t>
      </w:r>
    </w:p>
    <w:p>
      <w:pPr>
        <w:pStyle w:val="17"/>
        <w:rPr>
          <w:rFonts w:hint="eastAsia" w:eastAsia="等线"/>
          <w:lang w:eastAsia="zh-CN"/>
        </w:rPr>
      </w:pPr>
      <w:r>
        <w:rPr>
          <w:rFonts w:hint="eastAsia" w:eastAsia="等线"/>
          <w:lang w:eastAsia="zh-CN"/>
        </w:rPr>
        <w:drawing>
          <wp:inline distT="0" distB="0" distL="114300" distR="114300">
            <wp:extent cx="5730240" cy="2682240"/>
            <wp:effectExtent l="0" t="0" r="3810" b="3810"/>
            <wp:docPr id="3" name="图片 3" descr="2025年-汽车技术展-展会预览"/>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2025年-汽车技术展-展会预览"/>
                    <pic:cNvPicPr>
                      <a:picLocks noChangeAspect="1"/>
                    </pic:cNvPicPr>
                  </pic:nvPicPr>
                  <pic:blipFill>
                    <a:blip r:embed="rId7"/>
                    <a:stretch>
                      <a:fillRect/>
                    </a:stretch>
                  </pic:blipFill>
                  <pic:spPr>
                    <a:xfrm>
                      <a:off x="0" y="0"/>
                      <a:ext cx="5730240" cy="2682240"/>
                    </a:xfrm>
                    <a:prstGeom prst="rect">
                      <a:avLst/>
                    </a:prstGeom>
                  </pic:spPr>
                </pic:pic>
              </a:graphicData>
            </a:graphic>
          </wp:inline>
        </w:drawing>
      </w:r>
    </w:p>
    <w:p>
      <w:pPr>
        <w:pStyle w:val="17"/>
      </w:pPr>
    </w:p>
    <w:p>
      <w:pPr>
        <w:pStyle w:val="17"/>
      </w:pPr>
      <w:r>
        <w:t>无论您是汽车行业从业者，渴望了解市场需求、拓展业务版图、提升品牌知名度；还是汽车科技爱好者，期待近距离感受汽车内外饰技术的魅力，这场展会都是您的绝佳之选。</w:t>
      </w:r>
      <w:r>
        <w:rPr>
          <w:b/>
          <w:bCs/>
        </w:rPr>
        <w:t>AUTO TECH China 2025 广州国际汽车内外饰技术展览会</w:t>
      </w:r>
      <w:r>
        <w:t>，将为汽车内外饰行业的发展注入新的活力，引领行业迈向新的高度。赶紧在日程中标记好时间，我们在广州等您，一同开启这场精彩的汽车</w:t>
      </w:r>
      <w:r>
        <w:rPr>
          <w:rFonts w:ascii="Arial" w:hAnsi="Arial" w:cs="Arial"/>
        </w:rPr>
        <w:t>内外饰探索之旅！</w:t>
      </w:r>
      <w:r>
        <w:rPr>
          <w:rFonts w:hint="eastAsia" w:ascii="Arial" w:hAnsi="Arial" w:cs="Arial"/>
        </w:rPr>
        <w:t>china-autotech.com</w:t>
      </w:r>
    </w:p>
    <w:p>
      <w:pPr>
        <w:pStyle w:val="17"/>
      </w:pPr>
    </w:p>
    <w:sectPr>
      <w:pgSz w:w="11906" w:h="16838"/>
      <w:pgMar w:top="1440" w:right="1440" w:bottom="1440" w:left="1440" w:header="708" w:footer="708" w:gutter="0"/>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00"/>
    <w:family w:val="auto"/>
    <w:pitch w:val="default"/>
    <w:sig w:usb0="E0002EFF" w:usb1="C000785B" w:usb2="00000009" w:usb3="00000000" w:csb0="400001FF" w:csb1="FFFF0000"/>
  </w:font>
  <w:font w:name="等线">
    <w:panose1 w:val="02010600030101010101"/>
    <w:charset w:val="86"/>
    <w:family w:val="auto"/>
    <w:pitch w:val="default"/>
    <w:sig w:usb0="A00002BF" w:usb1="38CF7CFA" w:usb2="00000016" w:usb3="00000000" w:csb0="0004000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B86C357"/>
    <w:multiLevelType w:val="singleLevel"/>
    <w:tmpl w:val="EB86C357"/>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isplayBackgroundShape w:val="1"/>
  <w:bordersDoNotSurroundHeader w:val="0"/>
  <w:bordersDoNotSurroundFooter w:val="0"/>
  <w:documentProtection w:enforcement="0"/>
  <w:displayHorizontalDrawingGridEvery w:val="1"/>
  <w:displayVerticalDrawingGridEvery w:val="1"/>
  <w:noPunctuationKerning w:val="1"/>
  <w:compat>
    <w:doNotExpandShiftReturn/>
    <w:doNotWrapTextWithPunct/>
    <w:doNotUseEastAsianBreakRules/>
    <w:useFELayout/>
    <w:doNotUseIndentAsNumberingTabStop/>
    <w:useAltKinsokuLineBreakRules/>
    <w:compatSetting w:name="compatibilityMode" w:uri="http://schemas.microsoft.com/office/word" w:val="15"/>
  </w:compat>
  <w:rsids>
    <w:rsidRoot w:val="00000000"/>
    <w:rsid w:val="0C1F2B35"/>
    <w:rsid w:val="15AF50F4"/>
    <w:rsid w:val="1E846910"/>
    <w:rsid w:val="24C41B4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iPriority="99"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iPriority="99"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sz w:val="21"/>
      <w:szCs w:val="22"/>
    </w:rPr>
  </w:style>
  <w:style w:type="paragraph" w:styleId="2">
    <w:name w:val="heading 1"/>
    <w:next w:val="1"/>
    <w:qFormat/>
    <w:uiPriority w:val="0"/>
    <w:pPr>
      <w:spacing w:before="380" w:after="140" w:line="288" w:lineRule="auto"/>
      <w:ind w:left="0"/>
      <w:jc w:val="left"/>
      <w:outlineLvl w:val="0"/>
    </w:pPr>
    <w:rPr>
      <w:rFonts w:ascii="Arial" w:hAnsi="Arial" w:eastAsia="等线" w:cs="Arial"/>
      <w:b/>
      <w:bCs/>
      <w:sz w:val="36"/>
      <w:szCs w:val="36"/>
    </w:rPr>
  </w:style>
  <w:style w:type="paragraph" w:styleId="3">
    <w:name w:val="heading 2"/>
    <w:next w:val="1"/>
    <w:qFormat/>
    <w:uiPriority w:val="0"/>
    <w:pPr>
      <w:spacing w:before="320" w:after="120" w:line="288" w:lineRule="auto"/>
      <w:ind w:left="0"/>
      <w:jc w:val="left"/>
      <w:outlineLvl w:val="1"/>
    </w:pPr>
    <w:rPr>
      <w:rFonts w:ascii="Arial" w:hAnsi="Arial" w:eastAsia="等线" w:cs="Arial"/>
      <w:b/>
      <w:bCs/>
      <w:sz w:val="32"/>
      <w:szCs w:val="32"/>
    </w:rPr>
  </w:style>
  <w:style w:type="paragraph" w:styleId="4">
    <w:name w:val="heading 3"/>
    <w:next w:val="1"/>
    <w:qFormat/>
    <w:uiPriority w:val="0"/>
    <w:pPr>
      <w:spacing w:before="300" w:after="120" w:line="288" w:lineRule="auto"/>
      <w:ind w:left="0"/>
      <w:jc w:val="left"/>
      <w:outlineLvl w:val="2"/>
    </w:pPr>
    <w:rPr>
      <w:rFonts w:ascii="Arial" w:hAnsi="Arial" w:eastAsia="等线" w:cs="Arial"/>
      <w:b/>
      <w:bCs/>
      <w:sz w:val="30"/>
      <w:szCs w:val="30"/>
    </w:rPr>
  </w:style>
  <w:style w:type="paragraph" w:styleId="5">
    <w:name w:val="heading 4"/>
    <w:next w:val="1"/>
    <w:qFormat/>
    <w:uiPriority w:val="0"/>
    <w:pPr>
      <w:spacing w:before="260" w:after="120" w:line="288" w:lineRule="auto"/>
      <w:ind w:left="0"/>
      <w:jc w:val="left"/>
      <w:outlineLvl w:val="3"/>
    </w:pPr>
    <w:rPr>
      <w:rFonts w:ascii="Arial" w:hAnsi="Arial" w:eastAsia="等线" w:cs="Arial"/>
      <w:b/>
      <w:bCs/>
      <w:sz w:val="28"/>
      <w:szCs w:val="28"/>
    </w:rPr>
  </w:style>
  <w:style w:type="paragraph" w:styleId="6">
    <w:name w:val="heading 5"/>
    <w:next w:val="1"/>
    <w:qFormat/>
    <w:uiPriority w:val="0"/>
    <w:pPr>
      <w:spacing w:before="240" w:after="120" w:line="288" w:lineRule="auto"/>
      <w:ind w:left="0"/>
      <w:jc w:val="left"/>
      <w:outlineLvl w:val="4"/>
    </w:pPr>
    <w:rPr>
      <w:rFonts w:ascii="Arial" w:hAnsi="Arial" w:eastAsia="等线" w:cs="Arial"/>
      <w:b/>
      <w:bCs/>
      <w:sz w:val="24"/>
      <w:szCs w:val="24"/>
    </w:rPr>
  </w:style>
  <w:style w:type="paragraph" w:styleId="7">
    <w:name w:val="heading 6"/>
    <w:next w:val="1"/>
    <w:qFormat/>
    <w:uiPriority w:val="0"/>
    <w:pPr>
      <w:spacing w:before="240" w:after="120" w:line="288" w:lineRule="auto"/>
      <w:ind w:left="0"/>
      <w:jc w:val="left"/>
      <w:outlineLvl w:val="5"/>
    </w:pPr>
    <w:rPr>
      <w:rFonts w:ascii="Arial" w:hAnsi="Arial" w:eastAsia="等线" w:cs="Arial"/>
      <w:b/>
      <w:bCs/>
      <w:sz w:val="24"/>
      <w:szCs w:val="24"/>
    </w:rPr>
  </w:style>
  <w:style w:type="character" w:default="1" w:styleId="12">
    <w:name w:val="Default Paragraph Font"/>
    <w:semiHidden/>
    <w:uiPriority w:val="0"/>
  </w:style>
  <w:style w:type="table" w:default="1" w:styleId="11">
    <w:name w:val="Normal Table"/>
    <w:semiHidden/>
    <w:uiPriority w:val="0"/>
    <w:tblPr>
      <w:tblCellMar>
        <w:top w:w="0" w:type="dxa"/>
        <w:left w:w="108" w:type="dxa"/>
        <w:bottom w:w="0" w:type="dxa"/>
        <w:right w:w="108" w:type="dxa"/>
      </w:tblCellMar>
    </w:tblPr>
  </w:style>
  <w:style w:type="paragraph" w:styleId="8">
    <w:name w:val="footnote text"/>
    <w:link w:val="16"/>
    <w:semiHidden/>
    <w:unhideWhenUsed/>
    <w:uiPriority w:val="99"/>
    <w:pPr>
      <w:spacing w:after="0" w:line="240" w:lineRule="auto"/>
    </w:pPr>
    <w:rPr>
      <w:sz w:val="20"/>
      <w:szCs w:val="20"/>
    </w:rPr>
  </w:style>
  <w:style w:type="paragraph" w:styleId="9">
    <w:name w:val="Normal (Web)"/>
    <w:basedOn w:val="1"/>
    <w:uiPriority w:val="0"/>
    <w:pPr>
      <w:spacing w:before="0" w:beforeAutospacing="1" w:after="0" w:afterAutospacing="1"/>
      <w:ind w:left="0" w:right="0"/>
      <w:jc w:val="left"/>
    </w:pPr>
    <w:rPr>
      <w:kern w:val="0"/>
      <w:sz w:val="24"/>
      <w:lang w:val="en-US" w:eastAsia="zh-CN" w:bidi="ar"/>
    </w:rPr>
  </w:style>
  <w:style w:type="paragraph" w:styleId="10">
    <w:name w:val="Title"/>
    <w:qFormat/>
    <w:uiPriority w:val="0"/>
    <w:pPr>
      <w:spacing w:before="480" w:after="480" w:line="288" w:lineRule="auto"/>
      <w:ind w:left="0"/>
    </w:pPr>
    <w:rPr>
      <w:rFonts w:ascii="Arial" w:hAnsi="Arial" w:eastAsia="等线" w:cs="Arial"/>
      <w:b/>
      <w:bCs/>
      <w:sz w:val="52"/>
      <w:szCs w:val="52"/>
    </w:rPr>
  </w:style>
  <w:style w:type="character" w:styleId="13">
    <w:name w:val="Hyperlink"/>
    <w:unhideWhenUsed/>
    <w:qFormat/>
    <w:uiPriority w:val="99"/>
    <w:rPr>
      <w:color w:val="0563C1"/>
      <w:u w:val="single"/>
    </w:rPr>
  </w:style>
  <w:style w:type="character" w:styleId="14">
    <w:name w:val="footnote reference"/>
    <w:semiHidden/>
    <w:unhideWhenUsed/>
    <w:uiPriority w:val="99"/>
    <w:rPr>
      <w:vertAlign w:val="superscript"/>
    </w:rPr>
  </w:style>
  <w:style w:type="paragraph" w:styleId="15">
    <w:name w:val="List Paragraph"/>
    <w:qFormat/>
    <w:uiPriority w:val="0"/>
    <w:rPr>
      <w:sz w:val="21"/>
      <w:szCs w:val="22"/>
    </w:rPr>
  </w:style>
  <w:style w:type="character" w:customStyle="1" w:styleId="16">
    <w:name w:val="Footnote Text Char"/>
    <w:link w:val="8"/>
    <w:semiHidden/>
    <w:unhideWhenUsed/>
    <w:uiPriority w:val="99"/>
    <w:rPr>
      <w:sz w:val="20"/>
      <w:szCs w:val="20"/>
    </w:rPr>
  </w:style>
  <w:style w:type="paragraph" w:customStyle="1" w:styleId="17">
    <w:name w:val="_Style 13"/>
    <w:uiPriority w:val="0"/>
    <w:pPr>
      <w:spacing w:before="120" w:after="120" w:line="288" w:lineRule="auto"/>
      <w:ind w:left="0"/>
      <w:jc w:val="left"/>
    </w:pPr>
    <w:rPr>
      <w:rFonts w:ascii="Arial" w:hAnsi="Arial" w:eastAsia="等线" w:cs="Arial"/>
      <w:sz w:val="22"/>
      <w:szCs w:val="22"/>
    </w:rPr>
  </w:style>
  <w:style w:type="paragraph" w:customStyle="1" w:styleId="18">
    <w:name w:val="_Style 14"/>
    <w:uiPriority w:val="0"/>
    <w:pPr>
      <w:spacing w:before="120" w:after="120" w:line="288" w:lineRule="auto"/>
      <w:ind w:left="0"/>
      <w:jc w:val="left"/>
    </w:pPr>
    <w:rPr>
      <w:rFonts w:ascii="Arial" w:hAnsi="Arial" w:eastAsia="等线" w:cs="Arial"/>
      <w:color w:val="8F959E"/>
      <w:sz w:val="22"/>
      <w:szCs w:val="22"/>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5</TotalTime>
  <ScaleCrop>false</ScaleCrop>
  <LinksUpToDate>false</LinksUpToDate>
  <Application>WPS Office_11.1.0.9912_F1E327BC-269C-435d-A152-05C5408002CA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2025-03-20T03:20:00Z</dcterms:created>
  <dc:creator>Un-named</dc:creator>
  <cp:lastModifiedBy>微信用户</cp:lastModifiedBy>
  <dcterms:modified xsi:type="dcterms:W3CDTF">2025-03-20T05:48:25Z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2052-11.1.0.9912</vt:lpwstr>
  </property>
</Properties>
</file>