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A8ACC">
      <w:pPr>
        <w:jc w:val="center"/>
        <w:rPr>
          <w:rFonts w:hint="eastAsia"/>
          <w:b/>
          <w:bCs/>
          <w:color w:val="000000" w:themeColor="text1"/>
          <w:sz w:val="28"/>
          <w:szCs w:val="32"/>
          <w14:textFill>
            <w14:solidFill>
              <w14:schemeClr w14:val="tx1"/>
            </w14:solidFill>
          </w14:textFill>
        </w:rPr>
      </w:pPr>
      <w:r>
        <w:rPr>
          <w:b/>
          <w:bCs/>
          <w:color w:val="000000" w:themeColor="text1"/>
          <w:sz w:val="28"/>
          <w:szCs w:val="32"/>
          <w14:textFill>
            <w14:solidFill>
              <w14:schemeClr w14:val="tx1"/>
            </w14:solidFill>
          </w14:textFill>
        </w:rPr>
        <w:t>跨境破局</w:t>
      </w:r>
      <w:r>
        <w:rPr>
          <w:rFonts w:hint="eastAsia"/>
          <w:b/>
          <w:bCs/>
          <w:color w:val="000000" w:themeColor="text1"/>
          <w:sz w:val="28"/>
          <w:szCs w:val="32"/>
          <w14:textFill>
            <w14:solidFill>
              <w14:schemeClr w14:val="tx1"/>
            </w14:solidFill>
          </w14:textFill>
        </w:rPr>
        <w:t xml:space="preserve"> · 创新</w:t>
      </w:r>
      <w:r>
        <w:rPr>
          <w:b/>
          <w:bCs/>
          <w:color w:val="000000" w:themeColor="text1"/>
          <w:sz w:val="28"/>
          <w:szCs w:val="32"/>
          <w14:textFill>
            <w14:solidFill>
              <w14:schemeClr w14:val="tx1"/>
            </w14:solidFill>
          </w14:textFill>
        </w:rPr>
        <w:t>破圈</w:t>
      </w:r>
    </w:p>
    <w:p w14:paraId="6C1300E9">
      <w:pPr>
        <w:jc w:val="center"/>
        <w:rPr>
          <w:rFonts w:hint="eastAsia"/>
        </w:rPr>
      </w:pPr>
      <w:r>
        <w:rPr>
          <w:b/>
          <w:bCs/>
          <w:color w:val="000000" w:themeColor="text1"/>
          <w:sz w:val="28"/>
          <w:szCs w:val="32"/>
          <w14:textFill>
            <w14:solidFill>
              <w14:schemeClr w14:val="tx1"/>
            </w14:solidFill>
          </w14:textFill>
        </w:rPr>
        <w:t>6月上海HNC健康营养展重构大健康版图</w:t>
      </w:r>
    </w:p>
    <w:p w14:paraId="1345BF8F">
      <w:pPr>
        <w:rPr>
          <w:rFonts w:hint="eastAsia"/>
        </w:rPr>
      </w:pPr>
    </w:p>
    <w:p w14:paraId="0A0ED44C">
      <w:pPr>
        <w:ind w:firstLine="420" w:firstLineChars="200"/>
        <w:rPr>
          <w:rFonts w:hint="eastAsia"/>
        </w:rPr>
      </w:pPr>
      <w:r>
        <w:t>由中国医药保健品进出口商会携手上海博华国际展览有限公司共同主办的"第十五届中国国际健康产品展览会、2025亚洲天然及营养保健品展（HNC健康营养展）"将于2025年6月24-26日在国家会展中心（上海）盛大启幕。在健康消费从"身健"迈向"心康"的产业变革期，本届展会以"创新驱动，健康领航"为主题，聚焦全球供应链重构新格局</w:t>
      </w:r>
      <w:r>
        <w:rPr>
          <w:rFonts w:hint="eastAsia"/>
        </w:rPr>
        <w:t>和国内健康</w:t>
      </w:r>
      <w:r>
        <w:t>消费主力</w:t>
      </w:r>
      <w:r>
        <w:rPr>
          <w:rFonts w:hint="eastAsia"/>
        </w:rPr>
        <w:t>升级</w:t>
      </w:r>
      <w:r>
        <w:t>，联动健康天然原料、食品配料和食品加工包装系列展，打造超20万平方</w:t>
      </w:r>
      <w:r>
        <w:rPr>
          <w:rFonts w:hint="eastAsia"/>
        </w:rPr>
        <w:t>米大健康产业一站式国际化商贸平台</w:t>
      </w:r>
      <w:r>
        <w:t>。</w:t>
      </w:r>
    </w:p>
    <w:p w14:paraId="24D3BE7E">
      <w:pPr>
        <w:rPr>
          <w:rFonts w:hint="eastAsia"/>
          <w:color w:val="000000" w:themeColor="text1"/>
          <w14:textFill>
            <w14:solidFill>
              <w14:schemeClr w14:val="tx1"/>
            </w14:solidFill>
          </w14:textFill>
        </w:rPr>
      </w:pPr>
    </w:p>
    <w:p w14:paraId="6846B62C">
      <w:pPr>
        <w:rPr>
          <w:rFonts w:hint="eastAsia"/>
          <w:b/>
          <w:bCs/>
          <w:color w:val="000000" w:themeColor="text1"/>
          <w:sz w:val="22"/>
          <w:szCs w:val="24"/>
          <w14:textFill>
            <w14:solidFill>
              <w14:schemeClr w14:val="tx1"/>
            </w14:solidFill>
          </w14:textFill>
        </w:rPr>
      </w:pPr>
      <w:r>
        <w:rPr>
          <w:b/>
          <w:bCs/>
          <w:color w:val="000000" w:themeColor="text1"/>
          <w:sz w:val="22"/>
          <w:szCs w:val="24"/>
          <w14:textFill>
            <w14:solidFill>
              <w14:schemeClr w14:val="tx1"/>
            </w14:solidFill>
          </w14:textFill>
        </w:rPr>
        <w:t>破局跨境</w:t>
      </w:r>
      <w:r>
        <w:rPr>
          <w:rFonts w:hint="eastAsia"/>
          <w:b/>
          <w:bCs/>
          <w:color w:val="000000" w:themeColor="text1"/>
          <w:sz w:val="22"/>
          <w:szCs w:val="24"/>
          <w14:textFill>
            <w14:solidFill>
              <w14:schemeClr w14:val="tx1"/>
            </w14:solidFill>
          </w14:textFill>
        </w:rPr>
        <w:t>贸易</w:t>
      </w:r>
      <w:r>
        <w:rPr>
          <w:b/>
          <w:bCs/>
          <w:color w:val="000000" w:themeColor="text1"/>
          <w:sz w:val="22"/>
          <w:szCs w:val="24"/>
          <w14:textFill>
            <w14:solidFill>
              <w14:schemeClr w14:val="tx1"/>
            </w14:solidFill>
          </w14:textFill>
        </w:rPr>
        <w:t>新航道</w:t>
      </w:r>
    </w:p>
    <w:p w14:paraId="604DE391">
      <w:pPr>
        <w:rPr>
          <w:rFonts w:hint="eastAsia"/>
          <w:b/>
          <w:bCs/>
          <w:color w:val="000000" w:themeColor="text1"/>
          <w14:textFill>
            <w14:solidFill>
              <w14:schemeClr w14:val="tx1"/>
            </w14:solidFill>
          </w14:textFill>
        </w:rPr>
      </w:pPr>
    </w:p>
    <w:p w14:paraId="6EAA8E20">
      <w:pPr>
        <w:ind w:firstLine="420" w:firstLineChars="200"/>
        <w:rPr>
          <w:color w:val="000000" w:themeColor="text1"/>
          <w14:textFill>
            <w14:solidFill>
              <w14:schemeClr w14:val="tx1"/>
            </w14:solidFill>
          </w14:textFill>
        </w:rPr>
      </w:pPr>
      <w:r>
        <w:rPr>
          <w:rFonts w:hint="eastAsia"/>
        </w:rPr>
        <w:t>面对中美贸易摩擦与全球供应链重构的双重挑战，HNC健康营养展作为全球健康产业商贸平台，将通过健康原料及代工资源整合、多元化</w:t>
      </w:r>
      <w:r>
        <w:t>供应链</w:t>
      </w:r>
      <w:r>
        <w:rPr>
          <w:rFonts w:hint="eastAsia"/>
        </w:rPr>
        <w:t>渠道，为海外企业构建跨境贸易"风险缓冲带"。</w:t>
      </w:r>
      <w:r>
        <w:t>在此赋能体系下，</w:t>
      </w:r>
      <w:r>
        <w:rPr>
          <w:rFonts w:hint="eastAsia"/>
        </w:rPr>
        <w:t>2025年</w:t>
      </w:r>
      <w:r>
        <w:t>展会</w:t>
      </w:r>
      <w:r>
        <w:rPr>
          <w:rFonts w:hint="eastAsia"/>
        </w:rPr>
        <w:t>仍</w:t>
      </w:r>
      <w:r>
        <w:t>吸引</w:t>
      </w:r>
      <w:r>
        <w:rPr>
          <w:rFonts w:hint="eastAsia"/>
        </w:rPr>
        <w:t>了来自韩国、日本、马来</w:t>
      </w:r>
      <w:r>
        <w:rPr>
          <w:rFonts w:hint="eastAsia"/>
          <w:color w:val="000000" w:themeColor="text1"/>
          <w14:textFill>
            <w14:solidFill>
              <w14:schemeClr w14:val="tx1"/>
            </w14:solidFill>
          </w14:textFill>
        </w:rPr>
        <w:t>西亚、新加坡、澳大利亚、新西兰、意大利、美国、西班牙、比利时、挪威等30余个国家和地区的海外企业，如</w:t>
      </w:r>
      <w:r>
        <w:rPr>
          <w:color w:val="000000" w:themeColor="text1"/>
          <w14:textFill>
            <w14:solidFill>
              <w14:schemeClr w14:val="tx1"/>
            </w14:solidFill>
          </w14:textFill>
        </w:rPr>
        <w:t>BLACKMORES</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蓝桉制药</w:t>
      </w:r>
      <w:r>
        <w:rPr>
          <w:rFonts w:hint="eastAsia"/>
          <w:color w:val="000000" w:themeColor="text1"/>
          <w14:textFill>
            <w14:solidFill>
              <w14:schemeClr w14:val="tx1"/>
            </w14:solidFill>
          </w14:textFill>
        </w:rPr>
        <w:t>、澳药集团、活曼特药业、Lavida Pharmaceuticals、Lipa制药、科丝美诗纽芝丽、科玛美保、新西兰联合制药、IFF、Suheung、NOVAREX、Natac Pte、Invapharm、亚碧株式会社、Robinson、Lambo Laboratories等国际巨头前来参展。</w:t>
      </w:r>
      <w:r>
        <w:rPr>
          <w:color w:val="000000" w:themeColor="text1"/>
          <w14:textFill>
            <w14:solidFill>
              <w14:schemeClr w14:val="tx1"/>
            </w14:solidFill>
          </w14:textFill>
        </w:rPr>
        <w:t>值得关注的是，同期举办的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第十四届营养健康产业发展论坛</w:t>
      </w:r>
      <w:r>
        <w:rPr>
          <w:rFonts w:hint="eastAsia"/>
          <w:color w:val="000000" w:themeColor="text1"/>
          <w14:textFill>
            <w14:solidFill>
              <w14:schemeClr w14:val="tx1"/>
            </w14:solidFill>
          </w14:textFill>
        </w:rPr>
        <w:t>”将增设</w:t>
      </w:r>
      <w:r>
        <w:rPr>
          <w:color w:val="000000" w:themeColor="text1"/>
          <w14:textFill>
            <w14:solidFill>
              <w14:schemeClr w14:val="tx1"/>
            </w14:solidFill>
          </w14:textFill>
        </w:rPr>
        <w:t>"逆增长"</w:t>
      </w:r>
      <w:r>
        <w:rPr>
          <w:rFonts w:hint="eastAsia"/>
          <w:color w:val="000000" w:themeColor="text1"/>
          <w14:textFill>
            <w14:solidFill>
              <w14:schemeClr w14:val="tx1"/>
            </w14:solidFill>
          </w14:textFill>
        </w:rPr>
        <w:t>话题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邀约政府管理机构负责人及权威专家解读保健品进出口最新政策法规、企业如何应对关税挑战等问题；CMA澳大利亚保健品协会也将携澳洲知名企业进行品牌路演，共同</w:t>
      </w:r>
      <w:r>
        <w:rPr>
          <w:color w:val="000000" w:themeColor="text1"/>
          <w14:textFill>
            <w14:solidFill>
              <w14:schemeClr w14:val="tx1"/>
            </w14:solidFill>
          </w14:textFill>
        </w:rPr>
        <w:t>重塑"国内国际双循环"产业新生态</w:t>
      </w:r>
      <w:r>
        <w:rPr>
          <w:rFonts w:hint="eastAsia"/>
          <w:color w:val="000000" w:themeColor="text1"/>
          <w14:textFill>
            <w14:solidFill>
              <w14:schemeClr w14:val="tx1"/>
            </w14:solidFill>
          </w14:textFill>
        </w:rPr>
        <w:t>。</w:t>
      </w:r>
    </w:p>
    <w:p w14:paraId="09F09E76">
      <w:pPr>
        <w:rPr>
          <w:color w:val="000000" w:themeColor="text1"/>
          <w14:textFill>
            <w14:solidFill>
              <w14:schemeClr w14:val="tx1"/>
            </w14:solidFill>
          </w14:textFill>
        </w:rPr>
      </w:pPr>
    </w:p>
    <w:p w14:paraId="4C9AC5A2">
      <w:pPr>
        <w:rPr>
          <w:rFonts w:hint="eastAsia"/>
          <w:color w:val="000000" w:themeColor="text1"/>
          <w14:textFill>
            <w14:solidFill>
              <w14:schemeClr w14:val="tx1"/>
            </w14:solidFill>
          </w14:textFill>
        </w:rPr>
      </w:pPr>
      <w:r>
        <w:drawing>
          <wp:inline distT="0" distB="0" distL="0" distR="0">
            <wp:extent cx="5274310" cy="3514725"/>
            <wp:effectExtent l="0" t="0" r="2540" b="9525"/>
            <wp:docPr id="387262182" name="图片 4" descr="一群人正在聊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262182" name="图片 4" descr="一群人正在聊天&#10;&#10;AI 生成的内容可能不正确。"/>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514725"/>
                    </a:xfrm>
                    <a:prstGeom prst="rect">
                      <a:avLst/>
                    </a:prstGeom>
                    <a:noFill/>
                    <a:ln>
                      <a:noFill/>
                    </a:ln>
                  </pic:spPr>
                </pic:pic>
              </a:graphicData>
            </a:graphic>
          </wp:inline>
        </w:drawing>
      </w:r>
    </w:p>
    <w:p w14:paraId="1D69D10B">
      <w:pPr>
        <w:rPr>
          <w:rFonts w:hint="eastAsia"/>
          <w:b/>
          <w:bCs/>
          <w:color w:val="000000" w:themeColor="text1"/>
          <w:sz w:val="22"/>
          <w:szCs w:val="24"/>
          <w14:textFill>
            <w14:solidFill>
              <w14:schemeClr w14:val="tx1"/>
            </w14:solidFill>
          </w14:textFill>
        </w:rPr>
      </w:pPr>
      <w:r>
        <w:rPr>
          <w:b/>
          <w:bCs/>
          <w:color w:val="000000" w:themeColor="text1"/>
          <w:sz w:val="22"/>
          <w:szCs w:val="24"/>
          <w14:textFill>
            <w14:solidFill>
              <w14:schemeClr w14:val="tx1"/>
            </w14:solidFill>
          </w14:textFill>
        </w:rPr>
        <w:t>解码</w:t>
      </w:r>
      <w:r>
        <w:rPr>
          <w:rFonts w:hint="eastAsia"/>
          <w:b/>
          <w:bCs/>
          <w:color w:val="000000" w:themeColor="text1"/>
          <w:sz w:val="22"/>
          <w:szCs w:val="24"/>
          <w14:textFill>
            <w14:solidFill>
              <w14:schemeClr w14:val="tx1"/>
            </w14:solidFill>
          </w14:textFill>
        </w:rPr>
        <w:t>健康</w:t>
      </w:r>
      <w:r>
        <w:rPr>
          <w:b/>
          <w:bCs/>
          <w:color w:val="000000" w:themeColor="text1"/>
          <w:sz w:val="22"/>
          <w:szCs w:val="24"/>
          <w14:textFill>
            <w14:solidFill>
              <w14:schemeClr w14:val="tx1"/>
            </w14:solidFill>
          </w14:textFill>
        </w:rPr>
        <w:t>消费新范式</w:t>
      </w:r>
    </w:p>
    <w:p w14:paraId="7F85426C">
      <w:pPr>
        <w:rPr>
          <w:rFonts w:hint="eastAsia"/>
          <w:b/>
          <w:bCs/>
          <w:color w:val="000000" w:themeColor="text1"/>
          <w14:textFill>
            <w14:solidFill>
              <w14:schemeClr w14:val="tx1"/>
            </w14:solidFill>
          </w14:textFill>
        </w:rPr>
      </w:pPr>
    </w:p>
    <w:p w14:paraId="3CA5B54E">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值得关注的是，跨境贸易的破局正与国内消费升级形成共振效应。</w:t>
      </w:r>
      <w:r>
        <w:rPr>
          <w:color w:val="000000" w:themeColor="text1"/>
          <w14:textFill>
            <w14:solidFill>
              <w14:schemeClr w14:val="tx1"/>
            </w14:solidFill>
          </w14:textFill>
        </w:rPr>
        <w:t>国内健康消费正以"</w:t>
      </w:r>
      <w:r>
        <w:rPr>
          <w:rFonts w:hint="eastAsia"/>
          <w:color w:val="000000" w:themeColor="text1"/>
          <w14:textFill>
            <w14:solidFill>
              <w14:schemeClr w14:val="tx1"/>
            </w14:solidFill>
          </w14:textFill>
        </w:rPr>
        <w:t>轻养滋补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疗愈健康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体重管理</w:t>
      </w:r>
      <w:r>
        <w:rPr>
          <w:color w:val="000000" w:themeColor="text1"/>
          <w14:textFill>
            <w14:solidFill>
              <w14:schemeClr w14:val="tx1"/>
            </w14:solidFill>
          </w14:textFill>
        </w:rPr>
        <w:t>"等趋势重塑市场格局。《中国健康食品消费趋势报告》显示，药食同源类产品年复合增长率达24.3%，其中即食阿胶糕、人参蜜片等"轻滋补"品类在年轻群体中复购率超35%。为此</w:t>
      </w:r>
      <w:r>
        <w:rPr>
          <w:rFonts w:hint="eastAsia"/>
          <w:color w:val="000000" w:themeColor="text1"/>
          <w14:textFill>
            <w14:solidFill>
              <w14:schemeClr w14:val="tx1"/>
            </w14:solidFill>
          </w14:textFill>
        </w:rPr>
        <w:t>，HNC健康营养展将紧跟行业趋势，打造</w:t>
      </w:r>
      <w:r>
        <w:rPr>
          <w:color w:val="000000" w:themeColor="text1"/>
          <w14:textFill>
            <w14:solidFill>
              <w14:schemeClr w14:val="tx1"/>
            </w14:solidFill>
          </w14:textFill>
        </w:rPr>
        <w:t>"药食同源及食疗滋补专区"，集结</w:t>
      </w:r>
      <w:r>
        <w:rPr>
          <w:rFonts w:hint="eastAsia"/>
          <w:color w:val="000000" w:themeColor="text1"/>
          <w14:textFill>
            <w14:solidFill>
              <w14:schemeClr w14:val="tx1"/>
            </w14:solidFill>
          </w14:textFill>
        </w:rPr>
        <w:t>云南白药、同仁堂健康、青云山药业、泓寿生物、国和堂、芝神堂、善元堂、仙芝楼、仙芝灵、北达苁蓉、恒春堂、徽百堂等</w:t>
      </w:r>
      <w:r>
        <w:rPr>
          <w:color w:val="000000" w:themeColor="text1"/>
          <w14:textFill>
            <w14:solidFill>
              <w14:schemeClr w14:val="tx1"/>
            </w14:solidFill>
          </w14:textFill>
        </w:rPr>
        <w:t>30余家创新企业，推出零食化营养包、定制化滋补品等新形态产品</w:t>
      </w:r>
      <w:r>
        <w:rPr>
          <w:rFonts w:hint="eastAsia"/>
          <w:color w:val="000000" w:themeColor="text1"/>
          <w14:textFill>
            <w14:solidFill>
              <w14:schemeClr w14:val="tx1"/>
            </w14:solidFill>
          </w14:textFill>
        </w:rPr>
        <w:t>。</w:t>
      </w:r>
    </w:p>
    <w:p w14:paraId="18ED9B3C">
      <w:pPr>
        <w:rPr>
          <w:rFonts w:hint="eastAsia"/>
          <w:color w:val="000000" w:themeColor="text1"/>
          <w14:textFill>
            <w14:solidFill>
              <w14:schemeClr w14:val="tx1"/>
            </w14:solidFill>
          </w14:textFill>
        </w:rPr>
      </w:pPr>
    </w:p>
    <w:p w14:paraId="7B8AB54E">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此外，2025年展会将首次创新打造“元气汇”主题展区，实现两大IP活动“</w:t>
      </w:r>
      <w:r>
        <w:rPr>
          <w:color w:val="000000" w:themeColor="text1"/>
          <w14:textFill>
            <w14:solidFill>
              <w14:schemeClr w14:val="tx1"/>
            </w14:solidFill>
          </w14:textFill>
        </w:rPr>
        <w:t>疗愈生活节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轻养觉醒茶饮节</w:t>
      </w:r>
      <w:r>
        <w:rPr>
          <w:rFonts w:hint="eastAsia"/>
          <w:color w:val="000000" w:themeColor="text1"/>
          <w14:textFill>
            <w14:solidFill>
              <w14:schemeClr w14:val="tx1"/>
            </w14:solidFill>
          </w14:textFill>
        </w:rPr>
        <w:t>”深度联动。"疗愈生活节"首创"嗅觉经济"产业闭环，展品涵盖</w:t>
      </w:r>
      <w:r>
        <w:rPr>
          <w:color w:val="000000" w:themeColor="text1"/>
          <w14:textFill>
            <w14:solidFill>
              <w14:schemeClr w14:val="tx1"/>
            </w14:solidFill>
          </w14:textFill>
        </w:rPr>
        <w:t>情绪疗愈、精油纯露、香氛香薰、天然有机护肤、纯净美妆、植萃洗护等</w:t>
      </w:r>
      <w:r>
        <w:rPr>
          <w:rFonts w:hint="eastAsia"/>
          <w:color w:val="000000" w:themeColor="text1"/>
          <w14:textFill>
            <w14:solidFill>
              <w14:schemeClr w14:val="tx1"/>
            </w14:solidFill>
          </w14:textFill>
        </w:rPr>
        <w:t>。在芳香疗愈迷你花园中，观众还可体验定制调香工作坊制作专属情绪精油。展期还将同步</w:t>
      </w:r>
      <w:r>
        <w:rPr>
          <w:rFonts w:hint="eastAsia"/>
        </w:rPr>
        <w:t>将</w:t>
      </w:r>
      <w:r>
        <w:rPr>
          <w:rFonts w:hint="eastAsia"/>
          <w:color w:val="000000" w:themeColor="text1"/>
          <w14:textFill>
            <w14:solidFill>
              <w14:schemeClr w14:val="tx1"/>
            </w14:solidFill>
          </w14:textFill>
        </w:rPr>
        <w:t>举办“天然香产业发展论坛”，揭示嗅觉赛道增长的底层逻辑。与之呼应的"轻养觉醒茶饮节"将重构养生饮品生态，</w:t>
      </w:r>
      <w:r>
        <w:rPr>
          <w:color w:val="000000" w:themeColor="text1"/>
          <w14:textFill>
            <w14:solidFill>
              <w14:schemeClr w14:val="tx1"/>
            </w14:solidFill>
          </w14:textFill>
        </w:rPr>
        <w:t>这里是养生饮品的大集合，涵盖养生茶、功能饮料、植物基饮、冷萃茶、发酵特调、健康轻食等丰富品类。无论是追求传统养生之道的人群，还是紧跟现代健康潮流的时尚人士，都能在这里找到心仪的产品。</w:t>
      </w:r>
    </w:p>
    <w:p w14:paraId="5CBB79FE">
      <w:pPr>
        <w:rPr>
          <w:rFonts w:hint="eastAsia"/>
          <w:color w:val="000000" w:themeColor="text1"/>
          <w14:textFill>
            <w14:solidFill>
              <w14:schemeClr w14:val="tx1"/>
            </w14:solidFill>
          </w14:textFill>
        </w:rPr>
      </w:pPr>
    </w:p>
    <w:p w14:paraId="13A7BCE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除了创新展区，HNC健康营养展每年都汇聚了</w:t>
      </w:r>
      <w:r>
        <w:rPr>
          <w:color w:val="000000" w:themeColor="text1"/>
          <w14:textFill>
            <w14:solidFill>
              <w14:schemeClr w14:val="tx1"/>
            </w14:solidFill>
          </w14:textFill>
        </w:rPr>
        <w:t>免疫力提升、抗衰老管理、心血管养护、肠道微生态调节</w:t>
      </w:r>
      <w:r>
        <w:rPr>
          <w:rFonts w:hint="eastAsia"/>
          <w:color w:val="000000" w:themeColor="text1"/>
          <w14:textFill>
            <w14:solidFill>
              <w14:schemeClr w14:val="tx1"/>
            </w14:solidFill>
          </w14:textFill>
        </w:rPr>
        <w:t>、体重管理、疗愈美容</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多</w:t>
      </w:r>
      <w:r>
        <w:rPr>
          <w:color w:val="000000" w:themeColor="text1"/>
          <w14:textFill>
            <w14:solidFill>
              <w14:schemeClr w14:val="tx1"/>
            </w14:solidFill>
          </w14:textFill>
        </w:rPr>
        <w:t>维度的</w:t>
      </w:r>
      <w:r>
        <w:rPr>
          <w:rFonts w:hint="eastAsia"/>
          <w:color w:val="000000" w:themeColor="text1"/>
          <w14:textFill>
            <w14:solidFill>
              <w14:schemeClr w14:val="tx1"/>
            </w14:solidFill>
          </w14:textFill>
        </w:rPr>
        <w:t>创新</w:t>
      </w:r>
      <w:r>
        <w:rPr>
          <w:color w:val="000000" w:themeColor="text1"/>
          <w14:textFill>
            <w14:solidFill>
              <w14:schemeClr w14:val="tx1"/>
            </w14:solidFill>
          </w14:textFill>
        </w:rPr>
        <w:t>产品。</w:t>
      </w:r>
      <w:r>
        <w:rPr>
          <w:rFonts w:hint="eastAsia"/>
          <w:color w:val="000000" w:themeColor="text1"/>
          <w14:textFill>
            <w14:solidFill>
              <w14:schemeClr w14:val="tx1"/>
            </w14:solidFill>
          </w14:textFill>
        </w:rPr>
        <w:t>2025年参展企业包含仙乐健康、森澜生物、百合生物、艾兰得、康恩萃、柏维力、贝欧宝、衡美、大闽食品、广东长兴、根莱食品、每日营养、纽斯葆广赛、一然生物、云南天保桦、时代生物、诚一大健康、广东亿超、健特药业、菌钥、中食月太、吉典健康、优能健康、营养屋、广东微量元素</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500</w:t>
      </w:r>
      <w:r>
        <w:rPr>
          <w:color w:val="000000" w:themeColor="text1"/>
          <w14:textFill>
            <w14:solidFill>
              <w14:schemeClr w14:val="tx1"/>
            </w14:solidFill>
          </w14:textFill>
        </w:rPr>
        <w:t>余家</w:t>
      </w:r>
      <w:r>
        <w:rPr>
          <w:rFonts w:hint="eastAsia"/>
          <w:color w:val="000000" w:themeColor="text1"/>
          <w14:textFill>
            <w14:solidFill>
              <w14:schemeClr w14:val="tx1"/>
            </w14:solidFill>
          </w14:textFill>
        </w:rPr>
        <w:t>大健康</w:t>
      </w:r>
      <w:r>
        <w:rPr>
          <w:color w:val="000000" w:themeColor="text1"/>
          <w14:textFill>
            <w14:solidFill>
              <w14:schemeClr w14:val="tx1"/>
            </w14:solidFill>
          </w14:textFill>
        </w:rPr>
        <w:t>领军企业</w:t>
      </w:r>
      <w:r>
        <w:rPr>
          <w:rFonts w:hint="eastAsia"/>
          <w:color w:val="000000" w:themeColor="text1"/>
          <w14:textFill>
            <w14:solidFill>
              <w14:schemeClr w14:val="tx1"/>
            </w14:solidFill>
          </w14:textFill>
        </w:rPr>
        <w:t>。6月展会现场将一站式</w:t>
      </w:r>
      <w:r>
        <w:rPr>
          <w:color w:val="000000" w:themeColor="text1"/>
          <w14:textFill>
            <w14:solidFill>
              <w14:schemeClr w14:val="tx1"/>
            </w14:solidFill>
          </w14:textFill>
        </w:rPr>
        <w:t>展现从基础营养到精准健康管理的产业升级</w:t>
      </w:r>
      <w:r>
        <w:rPr>
          <w:rFonts w:hint="eastAsia"/>
          <w:color w:val="000000" w:themeColor="text1"/>
          <w14:textFill>
            <w14:solidFill>
              <w14:schemeClr w14:val="tx1"/>
            </w14:solidFill>
          </w14:textFill>
        </w:rPr>
        <w:t>场景</w:t>
      </w:r>
      <w:r>
        <w:rPr>
          <w:color w:val="000000" w:themeColor="text1"/>
          <w14:textFill>
            <w14:solidFill>
              <w14:schemeClr w14:val="tx1"/>
            </w14:solidFill>
          </w14:textFill>
        </w:rPr>
        <w:t>。</w:t>
      </w:r>
    </w:p>
    <w:p w14:paraId="431DA1DB">
      <w:pPr>
        <w:rPr>
          <w:rFonts w:hint="eastAsia"/>
          <w:color w:val="000000" w:themeColor="text1"/>
          <w14:textFill>
            <w14:solidFill>
              <w14:schemeClr w14:val="tx1"/>
            </w14:solidFill>
          </w14:textFill>
        </w:rPr>
      </w:pPr>
    </w:p>
    <w:p w14:paraId="73ED9A72">
      <w:pPr>
        <w:rPr>
          <w:rFonts w:hint="eastAsia"/>
          <w:color w:val="000000" w:themeColor="text1"/>
          <w14:textFill>
            <w14:solidFill>
              <w14:schemeClr w14:val="tx1"/>
            </w14:solidFill>
          </w14:textFill>
        </w:rPr>
      </w:pPr>
      <w:bookmarkStart w:id="0" w:name="_GoBack"/>
      <w:r>
        <w:drawing>
          <wp:inline distT="0" distB="0" distL="0" distR="0">
            <wp:extent cx="5143500" cy="3427095"/>
            <wp:effectExtent l="0" t="0" r="0" b="1905"/>
            <wp:docPr id="1036099796" name="图片 5" descr="一群人站在建筑的摆设布局&#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99796" name="图片 5" descr="一群人站在建筑的摆设布局&#10;&#10;AI 生成的内容可能不正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56185" cy="3436007"/>
                    </a:xfrm>
                    <a:prstGeom prst="rect">
                      <a:avLst/>
                    </a:prstGeom>
                    <a:noFill/>
                    <a:ln>
                      <a:noFill/>
                    </a:ln>
                  </pic:spPr>
                </pic:pic>
              </a:graphicData>
            </a:graphic>
          </wp:inline>
        </w:drawing>
      </w:r>
      <w:bookmarkEnd w:id="0"/>
    </w:p>
    <w:p w14:paraId="60894DD0">
      <w:pPr>
        <w:rPr>
          <w:rFonts w:hint="eastAsia"/>
          <w:b/>
          <w:bCs/>
          <w:color w:val="000000" w:themeColor="text1"/>
          <w:sz w:val="22"/>
          <w:szCs w:val="24"/>
          <w14:textFill>
            <w14:solidFill>
              <w14:schemeClr w14:val="tx1"/>
            </w14:solidFill>
          </w14:textFill>
        </w:rPr>
      </w:pPr>
      <w:r>
        <w:rPr>
          <w:rFonts w:hint="eastAsia"/>
          <w:b/>
          <w:bCs/>
          <w:color w:val="000000" w:themeColor="text1"/>
          <w:sz w:val="22"/>
          <w:szCs w:val="24"/>
          <w14:textFill>
            <w14:solidFill>
              <w14:schemeClr w14:val="tx1"/>
            </w14:solidFill>
          </w14:textFill>
        </w:rPr>
        <w:t>开设多元贸易新渠道</w:t>
      </w:r>
    </w:p>
    <w:p w14:paraId="0EA55258">
      <w:pPr>
        <w:rPr>
          <w:rFonts w:hint="eastAsia"/>
          <w:b/>
          <w:bCs/>
          <w:color w:val="000000" w:themeColor="text1"/>
          <w14:textFill>
            <w14:solidFill>
              <w14:schemeClr w14:val="tx1"/>
            </w14:solidFill>
          </w14:textFill>
        </w:rPr>
      </w:pPr>
    </w:p>
    <w:p w14:paraId="25C2A6A2">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面对"懒人经济"催生的渠道变革，展会现场将打造多场"电商创新论坛”</w:t>
      </w:r>
      <w:r>
        <w:rPr>
          <w:rFonts w:hint="eastAsia" w:ascii="微软雅黑" w:hAnsi="微软雅黑" w:eastAsia="微软雅黑" w:cs="Calibri"/>
          <w:color w:val="FF0000"/>
          <w:sz w:val="22"/>
        </w:rPr>
        <w:t xml:space="preserve"> </w:t>
      </w:r>
      <w:r>
        <w:rPr>
          <w:rFonts w:hint="eastAsia"/>
          <w:color w:val="000000" w:themeColor="text1"/>
          <w14:textFill>
            <w14:solidFill>
              <w14:schemeClr w14:val="tx1"/>
            </w14:solidFill>
          </w14:textFill>
        </w:rPr>
        <w:t>电商新渠道选品对接会“”创新营销大会"等，集结小红书流量博主、抖音健康垂类达人及各大电商平台头部KOL，如遥望、优蜜、老爸测评、无忧、完美家族等MCN公司将莅临现场，并开设跨境健康零食、美容口服营养品、体重管理健康食品等爆品选品赛道。另有“连锁商超、连锁药店配对会”，为展商提供盒马鲜生、京东健康、外高桥DIG、蜂窝快团、华氏大药房、雷允上、国大复美药业等线下会员店及连锁药店采购渠道，全方位构建线下渠道服务体系。</w:t>
      </w:r>
    </w:p>
    <w:p w14:paraId="7F5D0637">
      <w:pPr>
        <w:rPr>
          <w:rFonts w:hint="eastAsia"/>
          <w:color w:val="000000" w:themeColor="text1"/>
          <w14:textFill>
            <w14:solidFill>
              <w14:schemeClr w14:val="tx1"/>
            </w14:solidFill>
          </w14:textFill>
        </w:rPr>
      </w:pPr>
    </w:p>
    <w:p w14:paraId="20F71626">
      <w:pPr>
        <w:rPr>
          <w:rFonts w:hint="eastAsia"/>
          <w:b/>
          <w:bCs/>
          <w:color w:val="000000" w:themeColor="text1"/>
          <w:sz w:val="22"/>
          <w:szCs w:val="24"/>
          <w14:textFill>
            <w14:solidFill>
              <w14:schemeClr w14:val="tx1"/>
            </w14:solidFill>
          </w14:textFill>
        </w:rPr>
      </w:pPr>
      <w:r>
        <w:rPr>
          <w:b/>
          <w:bCs/>
          <w:color w:val="000000" w:themeColor="text1"/>
          <w:sz w:val="22"/>
          <w:szCs w:val="24"/>
          <w14:textFill>
            <w14:solidFill>
              <w14:schemeClr w14:val="tx1"/>
            </w14:solidFill>
          </w14:textFill>
        </w:rPr>
        <w:t>把脉产业</w:t>
      </w:r>
      <w:r>
        <w:rPr>
          <w:rFonts w:hint="eastAsia"/>
          <w:b/>
          <w:bCs/>
          <w:color w:val="000000" w:themeColor="text1"/>
          <w:sz w:val="22"/>
          <w:szCs w:val="24"/>
          <w14:textFill>
            <w14:solidFill>
              <w14:schemeClr w14:val="tx1"/>
            </w14:solidFill>
          </w14:textFill>
        </w:rPr>
        <w:t>趋势</w:t>
      </w:r>
      <w:r>
        <w:rPr>
          <w:b/>
          <w:bCs/>
          <w:color w:val="000000" w:themeColor="text1"/>
          <w:sz w:val="22"/>
          <w:szCs w:val="24"/>
          <w14:textFill>
            <w14:solidFill>
              <w14:schemeClr w14:val="tx1"/>
            </w14:solidFill>
          </w14:textFill>
        </w:rPr>
        <w:t>新动能</w:t>
      </w:r>
    </w:p>
    <w:p w14:paraId="224F93E7">
      <w:pPr>
        <w:rPr>
          <w:rFonts w:hint="eastAsia"/>
          <w:color w:val="000000" w:themeColor="text1"/>
          <w14:textFill>
            <w14:solidFill>
              <w14:schemeClr w14:val="tx1"/>
            </w14:solidFill>
          </w14:textFill>
        </w:rPr>
      </w:pPr>
    </w:p>
    <w:p w14:paraId="50B424B7">
      <w:pPr>
        <w:ind w:firstLine="42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作为政策技术双高地，</w:t>
      </w:r>
      <w:r>
        <w:rPr>
          <w:rFonts w:hint="eastAsia"/>
          <w:color w:val="000000" w:themeColor="text1"/>
          <w14:textFill>
            <w14:solidFill>
              <w14:schemeClr w14:val="tx1"/>
            </w14:solidFill>
          </w14:textFill>
        </w:rPr>
        <w:t>HNC健康营养展现场将举办</w:t>
      </w:r>
      <w:r>
        <w:rPr>
          <w:color w:val="000000" w:themeColor="text1"/>
          <w14:textFill>
            <w14:solidFill>
              <w14:schemeClr w14:val="tx1"/>
            </w14:solidFill>
          </w14:textFill>
        </w:rPr>
        <w:t>70余场高峰论坛</w:t>
      </w:r>
      <w:r>
        <w:rPr>
          <w:rFonts w:hint="eastAsia"/>
          <w:color w:val="000000" w:themeColor="text1"/>
          <w14:textFill>
            <w14:solidFill>
              <w14:schemeClr w14:val="tx1"/>
            </w14:solidFill>
          </w14:textFill>
        </w:rPr>
        <w:t>，力邀政府机构、行业协会、专业媒体，全方位提供政策法规解读会、品类趋势洞察会、行业技术研讨会、企业经验交流会、新品发布推介会、达人配对会等等。</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行业</w:t>
      </w:r>
      <w:r>
        <w:rPr>
          <w:color w:val="000000" w:themeColor="text1"/>
          <w14:textFill>
            <w14:solidFill>
              <w14:schemeClr w14:val="tx1"/>
            </w14:solidFill>
          </w14:textFill>
        </w:rPr>
        <w:t>政策维度，"第九届特殊医学用途配方食品论坛"将深度解读</w:t>
      </w:r>
      <w:r>
        <w:rPr>
          <w:rFonts w:hint="eastAsia"/>
          <w:color w:val="000000" w:themeColor="text1"/>
          <w14:textFill>
            <w14:solidFill>
              <w14:schemeClr w14:val="tx1"/>
            </w14:solidFill>
          </w14:textFill>
        </w:rPr>
        <w:t>特医</w:t>
      </w:r>
      <w:r>
        <w:rPr>
          <w:color w:val="000000" w:themeColor="text1"/>
          <w14:textFill>
            <w14:solidFill>
              <w14:schemeClr w14:val="tx1"/>
            </w14:solidFill>
          </w14:textFill>
        </w:rPr>
        <w:t>注册审批新政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"第七届营养与特殊食品论坛"</w:t>
      </w:r>
      <w:r>
        <w:rPr>
          <w:rFonts w:hint="eastAsia"/>
          <w:color w:val="000000" w:themeColor="text1"/>
          <w14:textFill>
            <w14:solidFill>
              <w14:schemeClr w14:val="tx1"/>
            </w14:solidFill>
          </w14:textFill>
        </w:rPr>
        <w:t>将</w:t>
      </w:r>
      <w:r>
        <w:rPr>
          <w:color w:val="000000" w:themeColor="text1"/>
          <w14:textFill>
            <w14:solidFill>
              <w14:schemeClr w14:val="tx1"/>
            </w14:solidFill>
          </w14:textFill>
        </w:rPr>
        <w:t>聚焦特医食品临床试验数据。技术前沿领域，"2025全国低GI与全谷物植物基健康食品论坛"</w:t>
      </w:r>
      <w:r>
        <w:rPr>
          <w:rFonts w:hint="eastAsia"/>
          <w:color w:val="000000" w:themeColor="text1"/>
          <w14:textFill>
            <w14:solidFill>
              <w14:schemeClr w14:val="tx1"/>
            </w14:solidFill>
          </w14:textFill>
        </w:rPr>
        <w:t>将</w:t>
      </w:r>
      <w:r>
        <w:rPr>
          <w:color w:val="000000" w:themeColor="text1"/>
          <w14:textFill>
            <w14:solidFill>
              <w14:schemeClr w14:val="tx1"/>
            </w14:solidFill>
          </w14:textFill>
        </w:rPr>
        <w:t>揭晓代谢健康管理新方案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"药食同源产品应用趋势创新论坛"则探讨汉方成分与</w:t>
      </w:r>
      <w:r>
        <w:rPr>
          <w:rFonts w:hint="eastAsia"/>
          <w:color w:val="000000" w:themeColor="text1"/>
          <w14:textFill>
            <w14:solidFill>
              <w14:schemeClr w14:val="tx1"/>
            </w14:solidFill>
          </w14:textFill>
        </w:rPr>
        <w:t>零食化</w:t>
      </w:r>
      <w:r>
        <w:rPr>
          <w:color w:val="000000" w:themeColor="text1"/>
          <w14:textFill>
            <w14:solidFill>
              <w14:schemeClr w14:val="tx1"/>
            </w14:solidFill>
          </w14:textFill>
        </w:rPr>
        <w:t>技术的融合应用。</w:t>
      </w:r>
    </w:p>
    <w:p w14:paraId="3142C76C">
      <w:pPr>
        <w:rPr>
          <w:rFonts w:hint="eastAsia"/>
          <w:color w:val="000000" w:themeColor="text1"/>
          <w14:textFill>
            <w14:solidFill>
              <w14:schemeClr w14:val="tx1"/>
            </w14:solidFill>
          </w14:textFill>
        </w:rPr>
      </w:pPr>
    </w:p>
    <w:p w14:paraId="2A315853">
      <w:pPr>
        <w:ind w:firstLine="420" w:firstLineChars="200"/>
        <w:rPr>
          <w:rFonts w:hint="eastAsia"/>
          <w:color w:val="000000" w:themeColor="text1"/>
          <w14:textFill>
            <w14:solidFill>
              <w14:schemeClr w14:val="tx1"/>
            </w14:solidFill>
          </w14:textFill>
        </w:rPr>
      </w:pPr>
      <w:r>
        <w:rPr>
          <w:color w:val="000000" w:themeColor="text1"/>
          <w14:textFill>
            <w14:solidFill>
              <w14:schemeClr w14:val="tx1"/>
            </w14:solidFill>
          </w14:textFill>
        </w:rPr>
        <w:t>针对细分赛道，"2025体重管理主题论坛"</w:t>
      </w:r>
      <w:r>
        <w:rPr>
          <w:rFonts w:hint="eastAsia"/>
          <w:color w:val="000000" w:themeColor="text1"/>
          <w14:textFill>
            <w14:solidFill>
              <w14:schemeClr w14:val="tx1"/>
            </w14:solidFill>
          </w14:textFill>
        </w:rPr>
        <w:t>将</w:t>
      </w:r>
      <w:r>
        <w:rPr>
          <w:color w:val="000000" w:themeColor="text1"/>
          <w14:textFill>
            <w14:solidFill>
              <w14:schemeClr w14:val="tx1"/>
            </w14:solidFill>
          </w14:textFill>
        </w:rPr>
        <w:t>揭示轻体食品向精准营养转型趋势；"全家营养健康峰会"则构建"一老一小"营养解决方案矩阵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"新营养全生命周期焦点峰会"</w:t>
      </w:r>
      <w:r>
        <w:rPr>
          <w:rFonts w:hint="eastAsia"/>
          <w:color w:val="000000" w:themeColor="text1"/>
          <w14:textFill>
            <w14:solidFill>
              <w14:schemeClr w14:val="tx1"/>
            </w14:solidFill>
          </w14:textFill>
        </w:rPr>
        <w:t>将通过前沿的市场洞察、权威的科学验证、创新的产品方案，为行业的持续发展注入新的活力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“吉林人参健康论坛”将在展会期间与国际接轨，传递人参在健康中国建设的重要作用。另外还将举办“宠物营养认证”、“清洁标签”助力食品企业发展、上海健康零售产业发展等专题论坛。</w:t>
      </w:r>
    </w:p>
    <w:p w14:paraId="3A09C092">
      <w:pPr>
        <w:rPr>
          <w:rFonts w:hint="eastAsia"/>
          <w:color w:val="000000" w:themeColor="text1"/>
          <w14:textFill>
            <w14:solidFill>
              <w14:schemeClr w14:val="tx1"/>
            </w14:solidFill>
          </w14:textFill>
        </w:rPr>
      </w:pPr>
    </w:p>
    <w:p w14:paraId="2217E3B0">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2025年6月24-26日，全球健康产业菁英将聚首上海虹桥国家会展中心。HNC健康营养展以"跨境破局·创新破圈"为战略支点，</w:t>
      </w:r>
      <w:r>
        <w:rPr>
          <w:color w:val="000000" w:themeColor="text1"/>
          <w14:textFill>
            <w14:solidFill>
              <w14:schemeClr w14:val="tx1"/>
            </w14:solidFill>
          </w14:textFill>
        </w:rPr>
        <w:t>助力企业</w:t>
      </w:r>
      <w:r>
        <w:rPr>
          <w:rFonts w:hint="eastAsia"/>
          <w:color w:val="000000" w:themeColor="text1"/>
          <w14:textFill>
            <w14:solidFill>
              <w14:schemeClr w14:val="tx1"/>
            </w14:solidFill>
          </w14:textFill>
        </w:rPr>
        <w:t>突破国际贸易局势、推动企业本土创新、为企业营造多元化商贸渠道、提供</w:t>
      </w:r>
      <w:r>
        <w:rPr>
          <w:color w:val="000000" w:themeColor="text1"/>
          <w14:textFill>
            <w14:solidFill>
              <w14:schemeClr w14:val="tx1"/>
            </w14:solidFill>
          </w14:textFill>
        </w:rPr>
        <w:t>宏观经济</w:t>
      </w:r>
      <w:r>
        <w:rPr>
          <w:rFonts w:hint="eastAsia"/>
          <w:color w:val="000000" w:themeColor="text1"/>
          <w14:textFill>
            <w14:solidFill>
              <w14:schemeClr w14:val="tx1"/>
            </w14:solidFill>
          </w14:textFill>
        </w:rPr>
        <w:t>与产业</w:t>
      </w:r>
      <w:r>
        <w:rPr>
          <w:color w:val="000000" w:themeColor="text1"/>
          <w14:textFill>
            <w14:solidFill>
              <w14:schemeClr w14:val="tx1"/>
            </w14:solidFill>
          </w14:textFill>
        </w:rPr>
        <w:t>趋势</w:t>
      </w:r>
      <w:r>
        <w:rPr>
          <w:rFonts w:hint="eastAsia"/>
          <w:color w:val="000000" w:themeColor="text1"/>
          <w14:textFill>
            <w14:solidFill>
              <w14:schemeClr w14:val="tx1"/>
            </w14:solidFill>
          </w14:textFill>
        </w:rPr>
        <w:t>，与行业同仁共创大健康行业新版图！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BB"/>
    <w:rsid w:val="000453AA"/>
    <w:rsid w:val="00072006"/>
    <w:rsid w:val="00090CA0"/>
    <w:rsid w:val="000C015B"/>
    <w:rsid w:val="000E25F2"/>
    <w:rsid w:val="000F195F"/>
    <w:rsid w:val="000F49CA"/>
    <w:rsid w:val="00117D37"/>
    <w:rsid w:val="00134CA5"/>
    <w:rsid w:val="0015735B"/>
    <w:rsid w:val="00166A89"/>
    <w:rsid w:val="00167CCD"/>
    <w:rsid w:val="00184C78"/>
    <w:rsid w:val="00196C03"/>
    <w:rsid w:val="00197844"/>
    <w:rsid w:val="001A0DF2"/>
    <w:rsid w:val="001A15B2"/>
    <w:rsid w:val="001A22B9"/>
    <w:rsid w:val="001B0CC8"/>
    <w:rsid w:val="001B6758"/>
    <w:rsid w:val="001C2409"/>
    <w:rsid w:val="001D1C2A"/>
    <w:rsid w:val="001D707B"/>
    <w:rsid w:val="001E047A"/>
    <w:rsid w:val="001F4B9F"/>
    <w:rsid w:val="00223268"/>
    <w:rsid w:val="00261BA1"/>
    <w:rsid w:val="00261DBC"/>
    <w:rsid w:val="002629DF"/>
    <w:rsid w:val="00267E3A"/>
    <w:rsid w:val="00280E47"/>
    <w:rsid w:val="002A0A0D"/>
    <w:rsid w:val="002B3868"/>
    <w:rsid w:val="002C2075"/>
    <w:rsid w:val="002D2DAF"/>
    <w:rsid w:val="002D35D8"/>
    <w:rsid w:val="002E0945"/>
    <w:rsid w:val="002E27A9"/>
    <w:rsid w:val="002F6046"/>
    <w:rsid w:val="00332247"/>
    <w:rsid w:val="00337CC0"/>
    <w:rsid w:val="00343839"/>
    <w:rsid w:val="00357898"/>
    <w:rsid w:val="003644ED"/>
    <w:rsid w:val="00377BC8"/>
    <w:rsid w:val="003A30EF"/>
    <w:rsid w:val="003A3F5D"/>
    <w:rsid w:val="003B2F07"/>
    <w:rsid w:val="003B675C"/>
    <w:rsid w:val="003D0701"/>
    <w:rsid w:val="003D2E41"/>
    <w:rsid w:val="003F12BB"/>
    <w:rsid w:val="00422DF7"/>
    <w:rsid w:val="00427F14"/>
    <w:rsid w:val="00465BE4"/>
    <w:rsid w:val="004925FC"/>
    <w:rsid w:val="004A3229"/>
    <w:rsid w:val="004B58F7"/>
    <w:rsid w:val="004D027E"/>
    <w:rsid w:val="004D0BB3"/>
    <w:rsid w:val="004D27ED"/>
    <w:rsid w:val="004F0D9B"/>
    <w:rsid w:val="00523A65"/>
    <w:rsid w:val="005326D9"/>
    <w:rsid w:val="00537D28"/>
    <w:rsid w:val="00577C1A"/>
    <w:rsid w:val="00584B91"/>
    <w:rsid w:val="00590155"/>
    <w:rsid w:val="005B57EE"/>
    <w:rsid w:val="005C322A"/>
    <w:rsid w:val="005D19C4"/>
    <w:rsid w:val="005E1AF9"/>
    <w:rsid w:val="005F1B94"/>
    <w:rsid w:val="00621338"/>
    <w:rsid w:val="00634E2C"/>
    <w:rsid w:val="00651997"/>
    <w:rsid w:val="00657B06"/>
    <w:rsid w:val="00672EE9"/>
    <w:rsid w:val="00675405"/>
    <w:rsid w:val="00684844"/>
    <w:rsid w:val="006A12F4"/>
    <w:rsid w:val="006A1E7E"/>
    <w:rsid w:val="006A39D6"/>
    <w:rsid w:val="006B139C"/>
    <w:rsid w:val="006C2FFA"/>
    <w:rsid w:val="006F2DC5"/>
    <w:rsid w:val="007003DF"/>
    <w:rsid w:val="007157D1"/>
    <w:rsid w:val="00750496"/>
    <w:rsid w:val="00760616"/>
    <w:rsid w:val="007909A5"/>
    <w:rsid w:val="007A7603"/>
    <w:rsid w:val="007B4855"/>
    <w:rsid w:val="007B5906"/>
    <w:rsid w:val="007C3B84"/>
    <w:rsid w:val="007D1667"/>
    <w:rsid w:val="00810796"/>
    <w:rsid w:val="008164F2"/>
    <w:rsid w:val="0082221B"/>
    <w:rsid w:val="00837809"/>
    <w:rsid w:val="00853E6E"/>
    <w:rsid w:val="00876DDB"/>
    <w:rsid w:val="00886721"/>
    <w:rsid w:val="00891259"/>
    <w:rsid w:val="00897B3F"/>
    <w:rsid w:val="008A4DB8"/>
    <w:rsid w:val="008B1E33"/>
    <w:rsid w:val="008B2BFE"/>
    <w:rsid w:val="008D68F1"/>
    <w:rsid w:val="008E269B"/>
    <w:rsid w:val="008E692C"/>
    <w:rsid w:val="008E6C98"/>
    <w:rsid w:val="008F6505"/>
    <w:rsid w:val="00906B53"/>
    <w:rsid w:val="00913B09"/>
    <w:rsid w:val="00924BFB"/>
    <w:rsid w:val="00934FF9"/>
    <w:rsid w:val="0094225E"/>
    <w:rsid w:val="00963438"/>
    <w:rsid w:val="00983C79"/>
    <w:rsid w:val="009A66DD"/>
    <w:rsid w:val="009C190F"/>
    <w:rsid w:val="00A008BC"/>
    <w:rsid w:val="00A828F3"/>
    <w:rsid w:val="00A971FF"/>
    <w:rsid w:val="00AA2995"/>
    <w:rsid w:val="00AB291B"/>
    <w:rsid w:val="00AD0F8A"/>
    <w:rsid w:val="00AD1962"/>
    <w:rsid w:val="00AE1D7B"/>
    <w:rsid w:val="00AF6B1A"/>
    <w:rsid w:val="00B14398"/>
    <w:rsid w:val="00B237EC"/>
    <w:rsid w:val="00B246C1"/>
    <w:rsid w:val="00B36C95"/>
    <w:rsid w:val="00B5042E"/>
    <w:rsid w:val="00B8382C"/>
    <w:rsid w:val="00B8605D"/>
    <w:rsid w:val="00B871D9"/>
    <w:rsid w:val="00BA4A81"/>
    <w:rsid w:val="00BA78EF"/>
    <w:rsid w:val="00BB70B6"/>
    <w:rsid w:val="00BF3906"/>
    <w:rsid w:val="00C01567"/>
    <w:rsid w:val="00C0245C"/>
    <w:rsid w:val="00C215B0"/>
    <w:rsid w:val="00C43050"/>
    <w:rsid w:val="00C576EF"/>
    <w:rsid w:val="00C609C6"/>
    <w:rsid w:val="00C65B19"/>
    <w:rsid w:val="00C72D0D"/>
    <w:rsid w:val="00C80E3B"/>
    <w:rsid w:val="00C81C95"/>
    <w:rsid w:val="00CC75FB"/>
    <w:rsid w:val="00CD7999"/>
    <w:rsid w:val="00CF006A"/>
    <w:rsid w:val="00CF7DC0"/>
    <w:rsid w:val="00D038BA"/>
    <w:rsid w:val="00D0490E"/>
    <w:rsid w:val="00D31834"/>
    <w:rsid w:val="00D66641"/>
    <w:rsid w:val="00D71D01"/>
    <w:rsid w:val="00DD32AE"/>
    <w:rsid w:val="00DE1D45"/>
    <w:rsid w:val="00DE421A"/>
    <w:rsid w:val="00DE7DF5"/>
    <w:rsid w:val="00E03D45"/>
    <w:rsid w:val="00E60762"/>
    <w:rsid w:val="00EA1214"/>
    <w:rsid w:val="00EB0D56"/>
    <w:rsid w:val="00EC7918"/>
    <w:rsid w:val="00ED09DA"/>
    <w:rsid w:val="00ED111C"/>
    <w:rsid w:val="00EF163E"/>
    <w:rsid w:val="00EF669C"/>
    <w:rsid w:val="00F03E98"/>
    <w:rsid w:val="00F05DCE"/>
    <w:rsid w:val="00F144D3"/>
    <w:rsid w:val="00F17E02"/>
    <w:rsid w:val="00F226D9"/>
    <w:rsid w:val="00F4747B"/>
    <w:rsid w:val="00F67EB4"/>
    <w:rsid w:val="00FA58D9"/>
    <w:rsid w:val="00FC061C"/>
    <w:rsid w:val="7763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脚 字符"/>
    <w:basedOn w:val="16"/>
    <w:link w:val="11"/>
    <w:uiPriority w:val="99"/>
    <w:rPr>
      <w:sz w:val="18"/>
      <w:szCs w:val="18"/>
    </w:rPr>
  </w:style>
  <w:style w:type="character" w:customStyle="1" w:styleId="36">
    <w:name w:val="页眉 字符"/>
    <w:basedOn w:val="16"/>
    <w:link w:val="1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2206</Words>
  <Characters>2359</Characters>
  <Lines>17</Lines>
  <Paragraphs>4</Paragraphs>
  <TotalTime>307</TotalTime>
  <ScaleCrop>false</ScaleCrop>
  <LinksUpToDate>false</LinksUpToDate>
  <CharactersWithSpaces>2366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2025-04-17T05:38:00Z</dcterms:created>
  <dc:creator>Liu, Kathy</dc:creator>
  <cp:lastModifiedBy>墨黧</cp:lastModifiedBy>
  <dcterms:modified xsi:type="dcterms:W3CDTF">2025-04-23T02:49:39Z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2025-03-04T09:00:29Z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ec8eb5f5-38ab-4ba7-af9e-25ca9be46b69</vt:lpwstr>
  </property>
  <property fmtid="{D5CDD505-2E9C-101B-9397-08002B2CF9AE}" pid="8" name="MSIP_Label_2bbab825-a111-45e4-86a1-18cee0005896_ContentBits">
    <vt:lpwstr>2</vt:lpwstr>
  </property>
  <property fmtid="{D5CDD505-2E9C-101B-9397-08002B2CF9AE}" pid="9" name="MSIP_Label_2bbab825-a111-45e4-86a1-18cee0005896_Tag">
    <vt:lpwstr>10, 3, 0, 1</vt:lpwstr>
  </property>
  <property fmtid="{D5CDD505-2E9C-101B-9397-08002B2CF9AE}" pid="10" name="KSOProductBuildVer">
    <vt:lpwstr>2052-12.1.0.20784</vt:lpwstr>
  </property>
  <property fmtid="{D5CDD505-2E9C-101B-9397-08002B2CF9AE}" pid="11" name="ICV">
    <vt:lpwstr>72F8777B07C744B9AC0CD13B8BA7E727_13</vt:lpwstr>
  </property>
</Properties>
</file>